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87630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760"/>
        <w:spacing w:after="0"/>
        <w:tabs>
          <w:tab w:leader="none" w:pos="6500" w:val="left"/>
          <w:tab w:leader="none" w:pos="71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25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208280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20"/>
          </w:cols>
          <w:pgMar w:left="320" w:top="516" w:right="3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23-2424711</w:t>
      </w:r>
    </w:p>
    <w:p>
      <w:pPr>
        <w:spacing w:after="0" w:line="3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00"/>
          </w:cols>
          <w:pgMar w:left="320" w:top="516" w:right="359" w:bottom="0" w:gutter="0" w:footer="0" w:header="0"/>
          <w:type w:val="continuous"/>
        </w:sectPr>
      </w:pPr>
    </w:p>
    <w:p>
      <w:pPr>
        <w:spacing w:after="0" w:line="1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1195 River Road, P.O. Box 302, Marietta, PA 17547</w:t>
      </w:r>
    </w:p>
    <w:p>
      <w:pPr>
        <w:spacing w:after="0" w:line="3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(717) 426-1931</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9" w:lineRule="exact"/>
        <w:rPr>
          <w:sz w:val="24"/>
          <w:szCs w:val="24"/>
          <w:color w:val="auto"/>
        </w:rPr>
      </w:pPr>
    </w:p>
    <w:p>
      <w:pPr>
        <w:ind w:right="6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20"/>
          </w:cols>
          <w:pgMar w:left="320" w:top="516" w:right="359" w:bottom="0" w:gutter="0" w:footer="0" w:header="0"/>
          <w:type w:val="continuous"/>
        </w:sectPr>
      </w:pPr>
    </w:p>
    <w:p>
      <w:pPr>
        <w:spacing w:after="0" w:line="135"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3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400" w:space="660"/>
            <w:col w:w="1740" w:space="720"/>
            <w:col w:w="2100" w:space="720"/>
            <w:col w:w="2880"/>
          </w:cols>
          <w:pgMar w:left="320" w:top="516" w:right="359" w:bottom="0" w:gutter="0" w:footer="0" w:header="0"/>
          <w:type w:val="continuous"/>
        </w:sect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20"/>
          </w:cols>
          <w:pgMar w:left="320" w:top="516" w:right="359" w:bottom="0" w:gutter="0" w:footer="0" w:header="0"/>
          <w:type w:val="continuous"/>
        </w:sectPr>
      </w:pPr>
    </w:p>
    <w:p>
      <w:pPr>
        <w:spacing w:after="0" w:line="19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580" w:type="dxa"/>
        <w:tblCellMar>
          <w:top w:w="0" w:type="dxa"/>
          <w:left w:w="0" w:type="dxa"/>
          <w:bottom w:w="0" w:type="dxa"/>
          <w:right w:w="0" w:type="dxa"/>
        </w:tblCellMar>
      </w:tblP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4"/>
        </w:trPr>
        <w:tc>
          <w:tcPr>
            <w:tcW w:w="36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 Common Stock, $.01 par value</w:t>
            </w:r>
          </w:p>
        </w:tc>
        <w:tc>
          <w:tcPr>
            <w:tcW w:w="20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DGICA</w:t>
            </w:r>
          </w:p>
        </w:tc>
        <w:tc>
          <w:tcPr>
            <w:tcW w:w="444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DGICB</w:t>
            </w:r>
          </w:p>
        </w:tc>
        <w:tc>
          <w:tcPr>
            <w:tcW w:w="4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31,842,786 shares of Class A Common Stock, par value $0.01 per share, and 5,576,775 shares of Class B Common Stock, par value $0.01 per share, outstanding on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16" w:right="35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90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PART I</w:t>
            </w:r>
          </w:p>
        </w:tc>
        <w:tc>
          <w:tcPr>
            <w:tcW w:w="12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FINANCIAL INFORMATION</w:t>
            </w:r>
          </w:p>
        </w:tc>
        <w:tc>
          <w:tcPr>
            <w:tcW w:w="740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w:t>
            </w:r>
          </w:p>
        </w:tc>
      </w:tr>
      <w:tr>
        <w:trPr>
          <w:trHeight w:val="175"/>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5"/>
          </w:tcPr>
          <w:p>
            <w:pPr>
              <w:ind w:left="1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5"/>
          </w:tcPr>
          <w:p>
            <w:pPr>
              <w:ind w:left="1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5"/>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12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shd w:val="clear" w:color="auto" w:fill="CCEEFF"/>
          </w:tcPr>
          <w:p>
            <w:pPr>
              <w:spacing w:after="0"/>
              <w:rPr>
                <w:sz w:val="17"/>
                <w:szCs w:val="17"/>
                <w:color w:val="auto"/>
              </w:rPr>
            </w:pPr>
          </w:p>
        </w:tc>
      </w:tr>
      <w:tr>
        <w:trPr>
          <w:trHeight w:val="175"/>
        </w:trPr>
        <w:tc>
          <w:tcPr>
            <w:tcW w:w="9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tcBorders>
              <w:top w:val="single" w:sz="8" w:color="CCEEFF"/>
            </w:tcBorders>
          </w:tcPr>
          <w:p>
            <w:pPr>
              <w:spacing w:after="0"/>
              <w:rPr>
                <w:sz w:val="15"/>
                <w:szCs w:val="15"/>
                <w:color w:val="auto"/>
              </w:rPr>
            </w:pPr>
          </w:p>
        </w:tc>
        <w:tc>
          <w:tcPr>
            <w:tcW w:w="18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780" w:type="dxa"/>
            <w:vAlign w:val="bottom"/>
            <w:tcBorders>
              <w:top w:val="single" w:sz="8" w:color="CCEEFF"/>
            </w:tcBorders>
            <w:gridSpan w:val="6"/>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20" w:type="dxa"/>
            <w:vAlign w:val="bottom"/>
            <w:shd w:val="clear" w:color="auto" w:fill="CCEEFF"/>
          </w:tcPr>
          <w:p>
            <w:pPr>
              <w:spacing w:after="0"/>
              <w:rPr>
                <w:sz w:val="15"/>
                <w:szCs w:val="15"/>
                <w:color w:val="auto"/>
              </w:rPr>
            </w:pPr>
          </w:p>
        </w:tc>
        <w:tc>
          <w:tcPr>
            <w:tcW w:w="96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15"/>
                <w:szCs w:val="15"/>
                <w:color w:val="auto"/>
              </w:rPr>
            </w:pPr>
          </w:p>
        </w:tc>
        <w:tc>
          <w:tcPr>
            <w:tcW w:w="966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20" w:type="dxa"/>
            <w:vAlign w:val="bottom"/>
            <w:shd w:val="clear" w:color="auto" w:fill="CCEEFF"/>
          </w:tcPr>
          <w:p>
            <w:pPr>
              <w:spacing w:after="0"/>
              <w:rPr>
                <w:sz w:val="17"/>
                <w:szCs w:val="17"/>
                <w:color w:val="auto"/>
              </w:rPr>
            </w:pPr>
          </w:p>
        </w:tc>
        <w:tc>
          <w:tcPr>
            <w:tcW w:w="966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90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20" w:type="dxa"/>
            <w:vAlign w:val="bottom"/>
            <w:tcBorders>
              <w:top w:val="single" w:sz="8" w:color="CCEEFF"/>
            </w:tcBorders>
          </w:tcPr>
          <w:p>
            <w:pPr>
              <w:spacing w:after="0"/>
              <w:rPr>
                <w:sz w:val="15"/>
                <w:szCs w:val="15"/>
                <w:color w:val="auto"/>
              </w:rPr>
            </w:pPr>
          </w:p>
        </w:tc>
        <w:tc>
          <w:tcPr>
            <w:tcW w:w="22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738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4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9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15"/>
          </w:tcPr>
          <w:p>
            <w:pPr>
              <w:ind w:left="1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398"/>
        </w:trPr>
        <w:tc>
          <w:tcPr>
            <w:tcW w:w="7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7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020" w:type="dxa"/>
            <w:vAlign w:val="bottom"/>
            <w:gridSpan w:val="3"/>
            <w:vMerge w:val="continue"/>
          </w:tcPr>
          <w:p>
            <w:pPr>
              <w:spacing w:after="0"/>
              <w:rPr>
                <w:sz w:val="13"/>
                <w:szCs w:val="13"/>
                <w:color w:val="auto"/>
              </w:rPr>
            </w:pPr>
          </w:p>
        </w:tc>
        <w:tc>
          <w:tcPr>
            <w:tcW w:w="17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7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14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Held to maturity, at amortized cost (fair value $704,587,316 and $731,659,323; net of allowance for expected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losses of $1,202,203 and $1,312,903)</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804,646,982</w:t>
            </w:r>
          </w:p>
        </w:tc>
        <w:tc>
          <w:tcPr>
            <w:tcW w:w="8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776,447,347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 (amortized cost $654,227,193 and $650,370,011)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613,935,226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640,722,775</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51,054,461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44,370,358</w:t>
            </w:r>
          </w:p>
        </w:tc>
        <w:tc>
          <w:tcPr>
            <w:tcW w:w="0" w:type="dxa"/>
            <w:vAlign w:val="bottom"/>
          </w:tcPr>
          <w:p>
            <w:pPr>
              <w:spacing w:after="0"/>
              <w:rPr>
                <w:sz w:val="1"/>
                <w:szCs w:val="1"/>
                <w:color w:val="auto"/>
              </w:rPr>
            </w:pPr>
          </w:p>
        </w:tc>
      </w:tr>
      <w:tr>
        <w:trPr>
          <w:trHeight w:val="223"/>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Short-term investments, available for sale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23,234,986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38,712,341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1,492,871,655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1,500,252,821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w:t>
            </w:r>
          </w:p>
        </w:tc>
        <w:tc>
          <w:tcPr>
            <w:tcW w:w="17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32,502,639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26,785,845</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12,282,828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10,914,235</w:t>
            </w:r>
          </w:p>
        </w:tc>
        <w:tc>
          <w:tcPr>
            <w:tcW w:w="0" w:type="dxa"/>
            <w:vAlign w:val="bottom"/>
          </w:tcPr>
          <w:p>
            <w:pPr>
              <w:spacing w:after="0"/>
              <w:rPr>
                <w:sz w:val="1"/>
                <w:szCs w:val="1"/>
                <w:color w:val="auto"/>
              </w:rPr>
            </w:pPr>
          </w:p>
        </w:tc>
      </w:tr>
      <w:tr>
        <w:trPr>
          <w:trHeight w:val="216"/>
        </w:trPr>
        <w:tc>
          <w:tcPr>
            <w:tcW w:w="8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220,719,329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180,803,918</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$402,695 and $374,883)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410,095,112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398,582,136</w:t>
            </w:r>
          </w:p>
        </w:tc>
        <w:tc>
          <w:tcPr>
            <w:tcW w:w="0" w:type="dxa"/>
            <w:vAlign w:val="bottom"/>
          </w:tcPr>
          <w:p>
            <w:pPr>
              <w:spacing w:after="0"/>
              <w:rPr>
                <w:sz w:val="1"/>
                <w:szCs w:val="1"/>
                <w:color w:val="auto"/>
              </w:rPr>
            </w:pPr>
          </w:p>
        </w:tc>
      </w:tr>
      <w:tr>
        <w:trPr>
          <w:trHeight w:val="216"/>
        </w:trPr>
        <w:tc>
          <w:tcPr>
            <w:tcW w:w="8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69,144,764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68,669,982</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19,600,601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13,287,301</w:t>
            </w:r>
          </w:p>
        </w:tc>
        <w:tc>
          <w:tcPr>
            <w:tcW w:w="0" w:type="dxa"/>
            <w:vAlign w:val="bottom"/>
          </w:tcPr>
          <w:p>
            <w:pPr>
              <w:spacing w:after="0"/>
              <w:rPr>
                <w:sz w:val="1"/>
                <w:szCs w:val="1"/>
                <w:color w:val="auto"/>
              </w:rPr>
            </w:pPr>
          </w:p>
        </w:tc>
      </w:tr>
      <w:tr>
        <w:trPr>
          <w:trHeight w:val="216"/>
        </w:trPr>
        <w:tc>
          <w:tcPr>
            <w:tcW w:w="8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205,818,448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171,083,219</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1,112,221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2,329,491</w:t>
            </w:r>
          </w:p>
        </w:tc>
        <w:tc>
          <w:tcPr>
            <w:tcW w:w="0" w:type="dxa"/>
            <w:vAlign w:val="bottom"/>
          </w:tcPr>
          <w:p>
            <w:pPr>
              <w:spacing w:after="0"/>
              <w:rPr>
                <w:sz w:val="1"/>
                <w:szCs w:val="1"/>
                <w:color w:val="auto"/>
              </w:rPr>
            </w:pPr>
          </w:p>
        </w:tc>
      </w:tr>
      <w:tr>
        <w:trPr>
          <w:trHeight w:val="216"/>
        </w:trPr>
        <w:tc>
          <w:tcPr>
            <w:tcW w:w="8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692,149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4,028,034</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3,299,188</w:t>
            </w:r>
          </w:p>
        </w:tc>
        <w:tc>
          <w:tcPr>
            <w:tcW w:w="0" w:type="dxa"/>
            <w:vAlign w:val="bottom"/>
          </w:tcPr>
          <w:p>
            <w:pPr>
              <w:spacing w:after="0"/>
              <w:rPr>
                <w:sz w:val="1"/>
                <w:szCs w:val="1"/>
                <w:color w:val="auto"/>
              </w:rPr>
            </w:pPr>
          </w:p>
        </w:tc>
      </w:tr>
      <w:tr>
        <w:trPr>
          <w:trHeight w:val="216"/>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5,625,354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958,010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3"/>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1,116,445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9,918</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w w:val="98"/>
              </w:rPr>
              <w:t>2,472,539,555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w w:val="98"/>
              </w:rPr>
              <w:t>2,386,629,452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60" w:type="dxa"/>
            <w:vAlign w:val="bottom"/>
            <w:tcBorders>
              <w:top w:val="single" w:sz="8" w:color="CCEEFF"/>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1,127,475,619</w:t>
            </w:r>
          </w:p>
        </w:tc>
        <w:tc>
          <w:tcPr>
            <w:tcW w:w="8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1,100,049,937</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634,395,542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591,040,451</w:t>
            </w:r>
          </w:p>
        </w:tc>
        <w:tc>
          <w:tcPr>
            <w:tcW w:w="0" w:type="dxa"/>
            <w:vAlign w:val="bottom"/>
          </w:tcPr>
          <w:p>
            <w:pPr>
              <w:spacing w:after="0"/>
              <w:rPr>
                <w:sz w:val="1"/>
                <w:szCs w:val="1"/>
                <w:color w:val="auto"/>
              </w:rPr>
            </w:pPr>
          </w:p>
        </w:tc>
      </w:tr>
      <w:tr>
        <w:trPr>
          <w:trHeight w:val="216"/>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1,844,323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2,220,800</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2,614,016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3,484,130</w:t>
            </w:r>
          </w:p>
        </w:tc>
        <w:tc>
          <w:tcPr>
            <w:tcW w:w="0" w:type="dxa"/>
            <w:vAlign w:val="bottom"/>
          </w:tcPr>
          <w:p>
            <w:pPr>
              <w:spacing w:after="0"/>
              <w:rPr>
                <w:sz w:val="1"/>
                <w:szCs w:val="1"/>
                <w:color w:val="auto"/>
              </w:rPr>
            </w:pPr>
          </w:p>
        </w:tc>
      </w:tr>
      <w:tr>
        <w:trPr>
          <w:trHeight w:val="216"/>
        </w:trPr>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6"/>
              </w:rPr>
              <w:t>Borrowings</w:t>
            </w:r>
          </w:p>
        </w:tc>
        <w:tc>
          <w:tcPr>
            <w:tcW w:w="17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6,647,482</w:t>
            </w:r>
          </w:p>
        </w:tc>
        <w:tc>
          <w:tcPr>
            <w:tcW w:w="0" w:type="dxa"/>
            <w:vAlign w:val="bottom"/>
          </w:tcPr>
          <w:p>
            <w:pPr>
              <w:spacing w:after="0"/>
              <w:rPr>
                <w:sz w:val="1"/>
                <w:szCs w:val="1"/>
                <w:color w:val="auto"/>
              </w:rPr>
            </w:pPr>
          </w:p>
        </w:tc>
      </w:tr>
      <w:tr>
        <w:trPr>
          <w:trHeight w:val="216"/>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Accounts payable -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1,011,690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affiliate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538,098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8,376,713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7,768,573</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1,811,256,001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1,746,211,373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authorized 2,000,000 shares; none issued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46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$.01 par value, authorized 50,000,000 shares, issued 34,794,714 and 34,385,129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and outstanding 31,792,126 and 31,382,541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347,948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343,852</w:t>
            </w:r>
          </w:p>
        </w:tc>
        <w:tc>
          <w:tcPr>
            <w:tcW w:w="0" w:type="dxa"/>
            <w:vAlign w:val="bottom"/>
          </w:tcPr>
          <w:p>
            <w:pPr>
              <w:spacing w:after="0"/>
              <w:rPr>
                <w:sz w:val="1"/>
                <w:szCs w:val="1"/>
                <w:color w:val="auto"/>
              </w:rPr>
            </w:pPr>
          </w:p>
        </w:tc>
      </w:tr>
      <w:tr>
        <w:trPr>
          <w:trHeight w:val="198"/>
        </w:trPr>
        <w:tc>
          <w:tcPr>
            <w:tcW w:w="846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$.01 par value, authorized 10,000,000 shares, issued 5,649,240 shares and outstanding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56,492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6"/>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399,252,446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391,811,397</w:t>
            </w:r>
          </w:p>
        </w:tc>
        <w:tc>
          <w:tcPr>
            <w:tcW w:w="0" w:type="dxa"/>
            <w:vAlign w:val="bottom"/>
          </w:tcPr>
          <w:p>
            <w:pPr>
              <w:spacing w:after="0"/>
              <w:rPr>
                <w:sz w:val="1"/>
                <w:szCs w:val="1"/>
                <w:color w:val="auto"/>
              </w:rPr>
            </w:pPr>
          </w:p>
        </w:tc>
      </w:tr>
      <w:tr>
        <w:trPr>
          <w:trHeight w:val="216"/>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(32,400,086)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(8,295,743)</w:t>
            </w:r>
          </w:p>
        </w:tc>
        <w:tc>
          <w:tcPr>
            <w:tcW w:w="0" w:type="dxa"/>
            <w:vAlign w:val="bottom"/>
          </w:tcPr>
          <w:p>
            <w:pPr>
              <w:spacing w:after="0"/>
              <w:rPr>
                <w:sz w:val="1"/>
                <w:szCs w:val="1"/>
                <w:color w:val="auto"/>
              </w:rPr>
            </w:pPr>
          </w:p>
        </w:tc>
      </w:tr>
      <w:tr>
        <w:trPr>
          <w:trHeight w:val="216"/>
        </w:trPr>
        <w:tc>
          <w:tcPr>
            <w:tcW w:w="84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335,253,111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297,728,438</w:t>
            </w:r>
          </w:p>
        </w:tc>
        <w:tc>
          <w:tcPr>
            <w:tcW w:w="0" w:type="dxa"/>
            <w:vAlign w:val="bottom"/>
          </w:tcPr>
          <w:p>
            <w:pPr>
              <w:spacing w:after="0"/>
              <w:rPr>
                <w:sz w:val="1"/>
                <w:szCs w:val="1"/>
                <w:color w:val="auto"/>
              </w:rPr>
            </w:pPr>
          </w:p>
        </w:tc>
      </w:tr>
      <w:tr>
        <w:trPr>
          <w:trHeight w:val="223"/>
        </w:trPr>
        <w:tc>
          <w:tcPr>
            <w:tcW w:w="846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661,283,554</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640,418,079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81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2,472,539,555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2,386,629,452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0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0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8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222,882,768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229,822,240</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14,689,560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13,942,503</w:t>
            </w:r>
          </w:p>
        </w:tc>
        <w:tc>
          <w:tcPr>
            <w:tcW w:w="0" w:type="dxa"/>
            <w:vAlign w:val="bottom"/>
          </w:tcPr>
          <w:p>
            <w:pPr>
              <w:spacing w:after="0"/>
              <w:rPr>
                <w:sz w:val="1"/>
                <w:szCs w:val="1"/>
                <w:color w:val="auto"/>
              </w:rPr>
            </w:pPr>
          </w:p>
        </w:tc>
      </w:tr>
      <w:tr>
        <w:trPr>
          <w:trHeight w:val="198"/>
        </w:trPr>
        <w:tc>
          <w:tcPr>
            <w:tcW w:w="83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(losses) gains (includes ($1,738,799) and ($1,472,009) accumulated other comprehensive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reclassifications)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(701,244)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1,272,277</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74,671</w:t>
            </w:r>
          </w:p>
        </w:tc>
        <w:tc>
          <w:tcPr>
            <w:tcW w:w="0" w:type="dxa"/>
            <w:vAlign w:val="bottom"/>
          </w:tcPr>
          <w:p>
            <w:pPr>
              <w:spacing w:after="0"/>
              <w:rPr>
                <w:sz w:val="1"/>
                <w:szCs w:val="1"/>
                <w:color w:val="auto"/>
              </w:rPr>
            </w:pPr>
          </w:p>
        </w:tc>
      </w:tr>
      <w:tr>
        <w:trPr>
          <w:trHeight w:val="223"/>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713,028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807,427</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8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237,658,189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245,919,118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137,006,862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142,715,240</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35,881,000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37,218,000</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41,723,923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39,688,044</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731,131</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340,425</w:t>
            </w:r>
          </w:p>
        </w:tc>
        <w:tc>
          <w:tcPr>
            <w:tcW w:w="0" w:type="dxa"/>
            <w:vAlign w:val="bottom"/>
          </w:tcPr>
          <w:p>
            <w:pPr>
              <w:spacing w:after="0"/>
              <w:rPr>
                <w:sz w:val="1"/>
                <w:szCs w:val="1"/>
                <w:color w:val="auto"/>
              </w:rPr>
            </w:pPr>
          </w:p>
        </w:tc>
      </w:tr>
      <w:tr>
        <w:trPr>
          <w:trHeight w:val="223"/>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176,750</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2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215,613,243</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220,869,590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22,044,946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25,049,528</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(includes $365,148 and $309,122 income tax benefit from reclassification items)</w:t>
            </w: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3,887,928</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4,969,314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18,157,018,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20,080,214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60" w:type="dxa"/>
            <w:vAlign w:val="bottom"/>
            <w:vMerge w:val="restart"/>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8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06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060" w:type="dxa"/>
            <w:vAlign w:val="bottom"/>
          </w:tcPr>
          <w:p>
            <w:pPr>
              <w:jc w:val="center"/>
              <w:ind w:left="213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18,157,018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income on securities: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0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holding (loss) income during the period, net of income tax (benefit) expense of ($5,889,850)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$1,125,235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(22,157,056)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4,270,170</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losses included in net income, net of income tax benefit of $365,148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$309,122</w:t>
            </w: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1,373,651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1,162,887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(20,783,405)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5,433,057</w:t>
            </w:r>
          </w:p>
        </w:tc>
        <w:tc>
          <w:tcPr>
            <w:tcW w:w="0" w:type="dxa"/>
            <w:vAlign w:val="bottom"/>
          </w:tcPr>
          <w:p>
            <w:pPr>
              <w:spacing w:after="0"/>
              <w:rPr>
                <w:sz w:val="1"/>
                <w:szCs w:val="1"/>
                <w:color w:val="auto"/>
              </w:rPr>
            </w:pPr>
          </w:p>
        </w:tc>
      </w:tr>
      <w:tr>
        <w:trPr>
          <w:trHeight w:val="257"/>
        </w:trPr>
        <w:tc>
          <w:tcPr>
            <w:tcW w:w="8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(2,626,387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25,513,271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1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1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1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666,814,443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694,298,723</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43,467,448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38,466,439</w:t>
            </w:r>
          </w:p>
        </w:tc>
        <w:tc>
          <w:tcPr>
            <w:tcW w:w="0" w:type="dxa"/>
            <w:vAlign w:val="bottom"/>
          </w:tcPr>
          <w:p>
            <w:pPr>
              <w:spacing w:after="0"/>
              <w:rPr>
                <w:sz w:val="1"/>
                <w:szCs w:val="1"/>
                <w:color w:val="auto"/>
              </w:rPr>
            </w:pPr>
          </w:p>
        </w:tc>
      </w:tr>
      <w:tr>
        <w:trPr>
          <w:trHeight w:val="198"/>
        </w:trPr>
        <w:tc>
          <w:tcPr>
            <w:tcW w:w="84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gains (includes ($3,019,903) and ($2,787,258) accumulated other comprehensive income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2,086,940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2,345,137</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227,779</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2,182,255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2,533,937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714,773,476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737,872,015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411,562,235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425,665,512</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108,301,000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115,950,000</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127,300,454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116,032,926</w:t>
            </w: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1,702,207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2,309,462</w:t>
            </w: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1,010,175</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1,178,528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269,106</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651,057,536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661,237,181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63,715,940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76,634,834</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(includes $634,180 and $585,324 income tax benefit from reclassification items)</w:t>
            </w: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11,742,569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14,483,326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51,973,371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62,151,508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846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Class B common stock - basic and diluted</w:t>
            </w:r>
          </w:p>
        </w:tc>
        <w:tc>
          <w:tcPr>
            <w:tcW w:w="2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4"/>
                <w:szCs w:val="14"/>
                <w:color w:val="auto"/>
              </w:rPr>
            </w:pPr>
          </w:p>
        </w:tc>
        <w:tc>
          <w:tcPr>
            <w:tcW w:w="94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gridSpan w:val="2"/>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140" w:type="dxa"/>
            <w:vAlign w:val="bottom"/>
            <w:vMerge w:val="restart"/>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1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8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81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14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51,973,371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62,151,508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income on securities: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1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holding (loss) income during the period, net of income tax (benefit) expense of ($7,041,663) and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$3,698,822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(26,490,066)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13,914,616</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1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losses included in net income, net of income tax benefit of $634,180 and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4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$585,324</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2,385,723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2,201,934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(24,104,343)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16,116,550</w:t>
            </w:r>
          </w:p>
        </w:tc>
        <w:tc>
          <w:tcPr>
            <w:tcW w:w="0" w:type="dxa"/>
            <w:vAlign w:val="bottom"/>
          </w:tcPr>
          <w:p>
            <w:pPr>
              <w:spacing w:after="0"/>
              <w:rPr>
                <w:sz w:val="1"/>
                <w:szCs w:val="1"/>
                <w:color w:val="auto"/>
              </w:rPr>
            </w:pPr>
          </w:p>
        </w:tc>
      </w:tr>
      <w:tr>
        <w:trPr>
          <w:trHeight w:val="256"/>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27,869,028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78,268,058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Accumulated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Class B</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Class B</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Additional</w:t>
            </w: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Comprehensive</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Retained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Amount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Amount</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Loss</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Earnings</w:t>
            </w:r>
          </w:p>
        </w:tc>
        <w:tc>
          <w:tcPr>
            <w:tcW w:w="1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Treasury Stock</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December</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34,385,129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5,649,240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$343,852</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$ 56,492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$ 391,811,397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(8,295,743)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$297,728,438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(41,226,357)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$640,418,079</w:t>
            </w:r>
          </w:p>
        </w:tc>
        <w:tc>
          <w:tcPr>
            <w:tcW w:w="0" w:type="dxa"/>
            <w:vAlign w:val="bottom"/>
          </w:tcPr>
          <w:p>
            <w:pPr>
              <w:spacing w:after="0"/>
              <w:rPr>
                <w:sz w:val="1"/>
                <w:szCs w:val="1"/>
                <w:color w:val="auto"/>
              </w:rPr>
            </w:pPr>
          </w:p>
        </w:tc>
      </w:tr>
      <w:tr>
        <w:trPr>
          <w:trHeight w:val="198"/>
        </w:trPr>
        <w:tc>
          <w:tcPr>
            <w:tcW w:w="1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39,583</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723,690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724,085</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559,026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559,189</w:t>
            </w: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11,510,604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11,510,604</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198"/>
        </w:trPr>
        <w:tc>
          <w:tcPr>
            <w:tcW w:w="1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150,159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(150,159)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(4,111,658)</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(4,111,658)</w:t>
            </w:r>
          </w:p>
        </w:tc>
        <w:tc>
          <w:tcPr>
            <w:tcW w:w="0" w:type="dxa"/>
            <w:vAlign w:val="bottom"/>
          </w:tcPr>
          <w:p>
            <w:pPr>
              <w:spacing w:after="0"/>
              <w:rPr>
                <w:sz w:val="1"/>
                <w:szCs w:val="1"/>
                <w:color w:val="auto"/>
              </w:rPr>
            </w:pPr>
          </w:p>
        </w:tc>
      </w:tr>
      <w:tr>
        <w:trPr>
          <w:trHeight w:val="198"/>
        </w:trPr>
        <w:tc>
          <w:tcPr>
            <w:tcW w:w="1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 March 31,</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34,440,977</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5,649,240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344,410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$ 56,492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$ 393,244,272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(12,407,401)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309,081,220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(41,226,357)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649,092,636</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550,740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551,064</w:t>
            </w:r>
          </w:p>
        </w:tc>
        <w:tc>
          <w:tcPr>
            <w:tcW w:w="0" w:type="dxa"/>
            <w:vAlign w:val="bottom"/>
          </w:tcPr>
          <w:p>
            <w:pPr>
              <w:spacing w:after="0"/>
              <w:rPr>
                <w:sz w:val="1"/>
                <w:szCs w:val="1"/>
                <w:color w:val="auto"/>
              </w:rPr>
            </w:pPr>
          </w:p>
        </w:tc>
      </w:tr>
      <w:tr>
        <w:trPr>
          <w:trHeight w:val="198"/>
        </w:trPr>
        <w:tc>
          <w:tcPr>
            <w:tcW w:w="1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402,809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402,864</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22,305,749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22,305,749</w:t>
            </w:r>
          </w:p>
        </w:tc>
        <w:tc>
          <w:tcPr>
            <w:tcW w:w="0" w:type="dxa"/>
            <w:vAlign w:val="bottom"/>
          </w:tcPr>
          <w:p>
            <w:pPr>
              <w:spacing w:after="0"/>
              <w:rPr>
                <w:sz w:val="1"/>
                <w:szCs w:val="1"/>
                <w:color w:val="auto"/>
              </w:rPr>
            </w:pPr>
          </w:p>
        </w:tc>
      </w:tr>
      <w:tr>
        <w:trPr>
          <w:trHeight w:val="198"/>
        </w:trPr>
        <w:tc>
          <w:tcPr>
            <w:tcW w:w="1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(7,034,456)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(7,034,456)</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(82,501)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790,720</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790,720</w:t>
            </w:r>
          </w:p>
        </w:tc>
        <w:tc>
          <w:tcPr>
            <w:tcW w:w="0" w:type="dxa"/>
            <w:vAlign w:val="bottom"/>
          </w:tcPr>
          <w:p>
            <w:pPr>
              <w:spacing w:after="0"/>
              <w:rPr>
                <w:sz w:val="1"/>
                <w:szCs w:val="1"/>
                <w:color w:val="auto"/>
              </w:rPr>
            </w:pPr>
          </w:p>
        </w:tc>
      </w:tr>
      <w:tr>
        <w:trPr>
          <w:trHeight w:val="21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102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June 30,</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34,478,816</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5,649,240</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344,789</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$ 56,492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$ 394,280,322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(11,616,681)</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324,270,012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(41,226,357)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666,108,577</w:t>
            </w:r>
          </w:p>
        </w:tc>
        <w:tc>
          <w:tcPr>
            <w:tcW w:w="0" w:type="dxa"/>
            <w:vAlign w:val="bottom"/>
          </w:tcPr>
          <w:p>
            <w:pPr>
              <w:spacing w:after="0"/>
              <w:rPr>
                <w:sz w:val="1"/>
                <w:szCs w:val="1"/>
                <w:color w:val="auto"/>
              </w:rPr>
            </w:pPr>
          </w:p>
        </w:tc>
      </w:tr>
      <w:tr>
        <w:trPr>
          <w:trHeight w:val="198"/>
        </w:trPr>
        <w:tc>
          <w:tcPr>
            <w:tcW w:w="168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380,964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381,202</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2,921</w:t>
            </w: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4,465,092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4,468,013</w:t>
            </w: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18,157,018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18,157,018</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declared</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(7,047,851)</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(7,047,851)</w:t>
            </w:r>
          </w:p>
        </w:tc>
        <w:tc>
          <w:tcPr>
            <w:tcW w:w="0" w:type="dxa"/>
            <w:vAlign w:val="bottom"/>
          </w:tcPr>
          <w:p>
            <w:pPr>
              <w:spacing w:after="0"/>
              <w:rPr>
                <w:sz w:val="1"/>
                <w:szCs w:val="1"/>
                <w:color w:val="auto"/>
              </w:rPr>
            </w:pPr>
          </w:p>
        </w:tc>
      </w:tr>
      <w:tr>
        <w:trPr>
          <w:trHeight w:val="198"/>
        </w:trPr>
        <w:tc>
          <w:tcPr>
            <w:tcW w:w="1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(126,068)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(20,783,405)</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(20,783,405)</w:t>
            </w:r>
          </w:p>
        </w:tc>
        <w:tc>
          <w:tcPr>
            <w:tcW w:w="0" w:type="dxa"/>
            <w:vAlign w:val="bottom"/>
          </w:tcPr>
          <w:p>
            <w:pPr>
              <w:spacing w:after="0"/>
              <w:rPr>
                <w:sz w:val="1"/>
                <w:szCs w:val="1"/>
                <w:color w:val="auto"/>
              </w:rPr>
            </w:pPr>
          </w:p>
        </w:tc>
      </w:tr>
      <w:tr>
        <w:trPr>
          <w:trHeight w:val="198"/>
        </w:trPr>
        <w:tc>
          <w:tcPr>
            <w:tcW w:w="168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Balance,September</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34,794,714</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5,649,240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347,948</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$ 56,492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$ 399,252,446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(32,400,086)</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335,253,111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(41,226,357)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661,283,554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Accumulated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Class A</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Class B</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Class A</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Class B</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Additional</w:t>
            </w: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Comprehensive</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Retained</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41"/>
        </w:trPr>
        <w:tc>
          <w:tcPr>
            <w:tcW w:w="154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Shares</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Amount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Amount</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Paid-In 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Loss</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Earnings</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Treasury 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December</w:t>
            </w: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32,954,347</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$ 329,544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$ 56,492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$ 369,679,946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(28,200,481)</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$245,136,987</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(41,226,357)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$545,776,131</w:t>
            </w:r>
          </w:p>
        </w:tc>
        <w:tc>
          <w:tcPr>
            <w:tcW w:w="0" w:type="dxa"/>
            <w:vAlign w:val="bottom"/>
          </w:tcPr>
          <w:p>
            <w:pPr>
              <w:spacing w:after="0"/>
              <w:rPr>
                <w:sz w:val="1"/>
                <w:szCs w:val="1"/>
                <w:color w:val="auto"/>
              </w:rPr>
            </w:pPr>
          </w:p>
        </w:tc>
      </w:tr>
      <w:tr>
        <w:trPr>
          <w:trHeight w:val="198"/>
        </w:trPr>
        <w:tc>
          <w:tcPr>
            <w:tcW w:w="1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444,142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444,507</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438,380</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6,571,130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6,575,514</w:t>
            </w: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25,205,174</w:t>
            </w:r>
          </w:p>
        </w:tc>
        <w:tc>
          <w:tcPr>
            <w:tcW w:w="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25,205,174</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declared</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(6,556)</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(6,556)</w:t>
            </w:r>
          </w:p>
        </w:tc>
        <w:tc>
          <w:tcPr>
            <w:tcW w:w="0" w:type="dxa"/>
            <w:vAlign w:val="bottom"/>
          </w:tcPr>
          <w:p>
            <w:pPr>
              <w:spacing w:after="0"/>
              <w:rPr>
                <w:sz w:val="1"/>
                <w:szCs w:val="1"/>
                <w:color w:val="auto"/>
              </w:rPr>
            </w:pPr>
          </w:p>
        </w:tc>
      </w:tr>
      <w:tr>
        <w:trPr>
          <w:trHeight w:val="198"/>
        </w:trPr>
        <w:tc>
          <w:tcPr>
            <w:tcW w:w="1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(168,699)</w:t>
            </w:r>
          </w:p>
        </w:tc>
        <w:tc>
          <w:tcPr>
            <w:tcW w:w="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6,728,245</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6,728,245</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 March 31,</w:t>
            </w: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33,429,227</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$ 344,410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$ 56,492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$ 376,863,917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(21,472,236)</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270,166,906</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(41,226,357)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584,723,015</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506,971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507,242</w:t>
            </w:r>
          </w:p>
        </w:tc>
        <w:tc>
          <w:tcPr>
            <w:tcW w:w="0" w:type="dxa"/>
            <w:vAlign w:val="bottom"/>
          </w:tcPr>
          <w:p>
            <w:pPr>
              <w:spacing w:after="0"/>
              <w:rPr>
                <w:sz w:val="1"/>
                <w:szCs w:val="1"/>
                <w:color w:val="auto"/>
              </w:rPr>
            </w:pPr>
          </w:p>
        </w:tc>
      </w:tr>
      <w:tr>
        <w:trPr>
          <w:trHeight w:val="198"/>
        </w:trPr>
        <w:tc>
          <w:tcPr>
            <w:tcW w:w="1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406,085</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6,099,313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6,103,374</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16,866,120</w:t>
            </w: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16,866,120</w:t>
            </w:r>
          </w:p>
        </w:tc>
        <w:tc>
          <w:tcPr>
            <w:tcW w:w="0" w:type="dxa"/>
            <w:vAlign w:val="bottom"/>
          </w:tcPr>
          <w:p>
            <w:pPr>
              <w:spacing w:after="0"/>
              <w:rPr>
                <w:sz w:val="1"/>
                <w:szCs w:val="1"/>
                <w:color w:val="auto"/>
              </w:rPr>
            </w:pPr>
          </w:p>
        </w:tc>
      </w:tr>
      <w:tr>
        <w:trPr>
          <w:trHeight w:val="198"/>
        </w:trPr>
        <w:tc>
          <w:tcPr>
            <w:tcW w:w="1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declared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(6,485,554)</w:t>
            </w:r>
          </w:p>
        </w:tc>
        <w:tc>
          <w:tcPr>
            <w:tcW w:w="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(6,485,554)</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(76,115)</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3,955,248</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3,955,248</w:t>
            </w:r>
          </w:p>
        </w:tc>
        <w:tc>
          <w:tcPr>
            <w:tcW w:w="0" w:type="dxa"/>
            <w:vAlign w:val="bottom"/>
          </w:tcPr>
          <w:p>
            <w:pPr>
              <w:spacing w:after="0"/>
              <w:rPr>
                <w:sz w:val="1"/>
                <w:szCs w:val="1"/>
                <w:color w:val="auto"/>
              </w:rPr>
            </w:pPr>
          </w:p>
        </w:tc>
      </w:tr>
      <w:tr>
        <w:trPr>
          <w:trHeight w:val="21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June 30,</w:t>
            </w: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33,862,414</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$ 338,625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$ 56,492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$ 383,546,316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(17,516,988)</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280,471,357</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(41,226,357)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605,669,445</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357,986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358,239</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149,673</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1,497</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2,460,778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2,462,275</w:t>
            </w: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20,080,214</w:t>
            </w:r>
          </w:p>
        </w:tc>
        <w:tc>
          <w:tcPr>
            <w:tcW w:w="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20,080,214</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dividends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declared</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(6,561,372)</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(6,561,372)</w:t>
            </w:r>
          </w:p>
        </w:tc>
        <w:tc>
          <w:tcPr>
            <w:tcW w:w="0" w:type="dxa"/>
            <w:vAlign w:val="bottom"/>
          </w:tcPr>
          <w:p>
            <w:pPr>
              <w:spacing w:after="0"/>
              <w:rPr>
                <w:sz w:val="1"/>
                <w:szCs w:val="1"/>
                <w:color w:val="auto"/>
              </w:rPr>
            </w:pPr>
          </w:p>
        </w:tc>
      </w:tr>
      <w:tr>
        <w:trPr>
          <w:trHeight w:val="198"/>
        </w:trPr>
        <w:tc>
          <w:tcPr>
            <w:tcW w:w="15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185,885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(185,885)</w:t>
            </w:r>
          </w:p>
        </w:tc>
        <w:tc>
          <w:tcPr>
            <w:tcW w:w="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5,433,057</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5,433,057</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34,037,415</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340,375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56,492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386,550,965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(12,083,931)</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293,804,314</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(41,226,357)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627,441,858</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5" w:right="339" w:bottom="1038"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038"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1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14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140" w:type="dxa"/>
            <w:vAlign w:val="bottom"/>
          </w:tcPr>
          <w:p>
            <w:pPr>
              <w:jc w:val="center"/>
              <w:ind w:left="20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51,973,371</w:t>
            </w:r>
          </w:p>
        </w:tc>
        <w:tc>
          <w:tcPr>
            <w:tcW w:w="2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62,151,508</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2,649,815</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(2,086,940)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(2,345,137)</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27,425,682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(6,683,514)</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43,355,091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10,472,817</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(39,915,411)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(11,789,560)</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(474,782)</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(76,436)</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482,956</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(11,512,976)</w:t>
            </w: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16,978,141</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(34,735,229)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(4,251,066)</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(1,368,593)</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(1,097,205)</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(237,781)</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(870,114)</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(1,433,002)</w:t>
            </w: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(4,759,569)</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(376,477)</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(415,846)</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608,129</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(10,979,770)</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(1,918,424)</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40,993,601</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60,233,084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(51,193,127)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(82,373,947)</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(155,233,118)</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(211,471,122)</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(2,696,222)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(2,512,570)</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23,294,353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25,567,921</w:t>
            </w: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100,122,849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95,926,329</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48,908,467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114,705,284</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2,145,314</w:t>
            </w: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sales (purchases) of property and equipment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(purchases) of short-term investments, available for sale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15,477,355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(12,873,676)</w:t>
            </w:r>
          </w:p>
        </w:tc>
      </w:tr>
      <w:tr>
        <w:trPr>
          <w:trHeight w:val="27"/>
        </w:trPr>
        <w:tc>
          <w:tcPr>
            <w:tcW w:w="320" w:type="dxa"/>
            <w:vAlign w:val="bottom"/>
            <w:shd w:val="clear" w:color="auto" w:fill="CCEEFF"/>
          </w:tcPr>
          <w:p>
            <w:pPr>
              <w:spacing w:after="0"/>
              <w:rPr>
                <w:sz w:val="2"/>
                <w:szCs w:val="2"/>
                <w:color w:val="auto"/>
              </w:rPr>
            </w:pPr>
          </w:p>
        </w:tc>
        <w:tc>
          <w:tcPr>
            <w:tcW w:w="8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(20,343,058)</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(70,886,569)</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(20,737,452)</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(19,084,560)</w:t>
            </w:r>
          </w:p>
        </w:tc>
      </w:tr>
      <w:tr>
        <w:trPr>
          <w:trHeight w:val="223"/>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5,803,703</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15,383,590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(14,933,749)</w:t>
            </w: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(3,700,970)</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5,716,794</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(14,354,455)</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26,785,845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52,925,931</w:t>
            </w:r>
          </w:p>
        </w:tc>
      </w:tr>
      <w:tr>
        <w:trPr>
          <w:trHeight w:val="257"/>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32,502,639</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38,571,476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1,013,876</w:t>
            </w:r>
          </w:p>
        </w:tc>
      </w:t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during period - Taxes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8,500,050</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18,747,439</w:t>
            </w:r>
          </w:p>
        </w:tc>
      </w:tr>
    </w:tbl>
    <w:p>
      <w:pPr>
        <w:spacing w:after="0" w:line="1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Organization</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property and casualty insurance exclusively through a network of independent insurance agents in certain Mid-Atlantic, Midwestern, Southern and Southwestern states.</w:t>
      </w:r>
    </w:p>
    <w:p>
      <w:pPr>
        <w:spacing w:after="0" w:line="183" w:lineRule="exact"/>
        <w:rPr>
          <w:sz w:val="20"/>
          <w:szCs w:val="20"/>
          <w:color w:val="auto"/>
        </w:rPr>
      </w:pPr>
    </w:p>
    <w:p>
      <w:pPr>
        <w:jc w:val="both"/>
        <w:ind w:right="240" w:firstLine="324"/>
        <w:spacing w:after="0" w:line="289" w:lineRule="auto"/>
        <w:rPr>
          <w:sz w:val="20"/>
          <w:szCs w:val="20"/>
          <w:color w:val="auto"/>
        </w:rPr>
      </w:pPr>
      <w:r>
        <w:rPr>
          <w:rFonts w:ascii="Times New Roman" w:cs="Times New Roman" w:eastAsia="Times New Roman" w:hAnsi="Times New Roman"/>
          <w:sz w:val="17"/>
          <w:szCs w:val="17"/>
          <w:color w:val="auto"/>
        </w:rPr>
        <w:t>At September 30, 2026,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5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September 30, 2026, Donegal Mutual held approximately 45% of our outstanding Class A common stock and approximately 85%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18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In September 2025, Donegal Mutual and Southern entered into a renewal rights agreement with an affiliate of a farm- focused Pennsylvania-based mutual insurance group to provide a continuation option for their farm policyholders when they began to non-renew all farm policies as they started to expire beginning in the second quarter of 2026. Donegal Mutual and Southern determined that the costs required to modernize their legacy farm product and systems were higher than the projected return on investment for this non-core line of business that represents approximately $6 million in annual premiums. None of our other insurance subsidiaries offered farm policies. We currently include farm policies within other commercial lines in our line of business reporting.</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statement of our financial position, results of operations and cash flows for those interim periods. Our results of operations for the interim period presented are not necessarily indicative of the results of operations we expect for the fiscal year.</w:t>
      </w:r>
    </w:p>
    <w:p>
      <w:pPr>
        <w:spacing w:after="0" w:line="18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2025.</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10"/>
        </w:trPr>
        <w:tc>
          <w:tcPr>
            <w:tcW w:w="59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33"/>
        </w:trPr>
        <w:tc>
          <w:tcPr>
            <w:tcW w:w="5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gridSpan w:val="7"/>
          </w:tcPr>
          <w:p>
            <w:pPr>
              <w:jc w:val="center"/>
              <w:ind w:right="4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4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8,821</w:t>
            </w:r>
          </w:p>
        </w:tc>
      </w:tr>
      <w:tr>
        <w:trPr>
          <w:trHeight w:val="210"/>
        </w:trPr>
        <w:tc>
          <w:tcPr>
            <w:tcW w:w="59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30,587</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w:t>
            </w: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8,821</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30,587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31,072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did not exclude any outstanding options to purchase shares of Class A common stock in our computation of diluted net income per share because the exercise price of the options did not exceed the average market price of our Class A common stock during the applicable periods.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tab/>
        <w:t>Reinsurance</w:t>
      </w:r>
    </w:p>
    <w:p>
      <w:pPr>
        <w:sectPr>
          <w:pgSz w:w="11900" w:h="16838" w:orient="portrait"/>
          <w:cols w:equalWidth="0" w:num="1">
            <w:col w:w="11240"/>
          </w:cols>
          <w:pgMar w:left="320" w:top="116" w:right="339" w:bottom="73" w:gutter="0" w:footer="0" w:header="0"/>
        </w:sectPr>
      </w:pPr>
    </w:p>
    <w:bookmarkStart w:id="11" w:name="page12"/>
    <w:bookmarkEnd w:id="11"/>
    <w:p>
      <w:pPr>
        <w:ind w:firstLine="324"/>
        <w:spacing w:after="0" w:line="266"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all of which have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2026:</w:t>
      </w:r>
    </w:p>
    <w:p>
      <w:pPr>
        <w:spacing w:after="0" w:line="183" w:lineRule="exact"/>
        <w:rPr>
          <w:sz w:val="20"/>
          <w:szCs w:val="20"/>
          <w:color w:val="auto"/>
        </w:rPr>
      </w:pPr>
    </w:p>
    <w:p>
      <w:pPr>
        <w:ind w:left="660" w:right="4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insurance, excess of loss reinsurance that provides for coverage of $36.0 million per loss over a set retention of $4.0 million and catastrophe reinsurance, under which they recover 100% of an accumulation of many losses resulting from a single event, including natural disasters, over a set retention of $25.0 million up to aggregate losses of $200.0 million per occurrence;</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liability insurance, excess of loss reinsurance that provides for coverage of $69.0 million per occurrence over a set retention of $6.0 million;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workers’ compensation insurance, excess of loss reinsurance that provides for coverage of $17.0 million on any one life over a set retention of $3.0 million.</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Southern, MICO and The Peninsula Insurance Company also have a liability reinsurance agreement with Donegal Mutual, under which each insurance subsidiary recovers up to $3.0 million per occurrence over a set retention of $3.0 million.</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162"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The Peninsula Insurance Company are required to be members of the Michigan Catastrophic Claims Association (“MCCA”). The MCCA provides reinsurance to Atlantic States, MICO and The Peninsula Insurance Company for personal automobile and commercial automobile personal injury claims in the state of Michigan over a set retention.</w:t>
      </w:r>
    </w:p>
    <w:p>
      <w:pPr>
        <w:spacing w:after="0" w:line="17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and short-term investments at September 30, 2026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32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3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72,869</w:t>
            </w:r>
          </w:p>
        </w:tc>
        <w:tc>
          <w:tcPr>
            <w:tcW w:w="12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72,912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7,086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65,826</w:t>
            </w: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468,770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392,884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257,578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239,524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6,353</w:t>
            </w:r>
          </w:p>
        </w:tc>
      </w:tr>
      <w:tr>
        <w:trPr>
          <w:trHeight w:val="27"/>
        </w:trPr>
        <w:tc>
          <w:tcPr>
            <w:tcW w:w="3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805,849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101,286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704,587</w:t>
            </w:r>
          </w:p>
        </w:tc>
      </w:tr>
      <w:tr>
        <w:trPr>
          <w:trHeight w:val="20"/>
        </w:trPr>
        <w:tc>
          <w:tcPr>
            <w:tcW w:w="3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24,366</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47,339</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124,348</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444,745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417,882</w:t>
            </w: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23,235</w:t>
            </w:r>
          </w:p>
        </w:tc>
      </w:tr>
      <w:tr>
        <w:trPr>
          <w:trHeight w:val="25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677,462</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380" w:type="dxa"/>
            <w:vAlign w:val="bottom"/>
          </w:tcPr>
          <w:p>
            <w:pPr>
              <w:spacing w:after="0"/>
              <w:rPr>
                <w:sz w:val="24"/>
                <w:szCs w:val="24"/>
                <w:color w:val="auto"/>
              </w:rPr>
            </w:pP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At September 30, 2026, our holdings of obligations of states and political subdivisions included general obligation bonds with an aggregate fair value of $282.5 million and an amortized cost of $337.9 million. Our holdings at September 30, 2026 also included special revenue bonds with an aggregate fair value of $157.7 million and an amortized cost of $184.6 million. With respect to both categories of those bonds, we held no securities of any issuer that comprised more than 10% of our holdings of either bond category at September 30, 2026. Education bonds and water and sewer utility bonds represented 39% and 36%, respectively, of our total investments in special revenue bonds based on the carrying values of these investments at September 30, 2026. Many of the issuers of the special revenue bonds we held at September 30, 2026 have the authority to impose ad valorem taxes. In that respect, many of the special revenue bonds we held are similar to general obligation bonds.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and short-term investments at December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p>
        </w:tc>
        <w:tc>
          <w:tcPr>
            <w:tcW w:w="17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0" w:type="dxa"/>
            <w:vAlign w:val="bottom"/>
            <w:gridSpan w:val="6"/>
          </w:tcPr>
          <w:p>
            <w:pPr>
              <w:jc w:val="right"/>
              <w:ind w:right="100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79,243</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4,864</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74,510</w:t>
            </w:r>
          </w:p>
        </w:tc>
        <w:tc>
          <w:tcPr>
            <w:tcW w:w="0" w:type="dxa"/>
            <w:vAlign w:val="bottom"/>
          </w:tcPr>
          <w:p>
            <w:pPr>
              <w:spacing w:after="0"/>
              <w:rPr>
                <w:sz w:val="1"/>
                <w:szCs w:val="1"/>
                <w:color w:val="auto"/>
              </w:rPr>
            </w:pPr>
          </w:p>
        </w:tc>
      </w:tr>
      <w:tr>
        <w:trPr>
          <w:trHeight w:val="198"/>
        </w:trPr>
        <w:tc>
          <w:tcPr>
            <w:tcW w:w="2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436,802</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3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401,132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252,098</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247,790</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8,227</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776,447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0</wp:posOffset>
            </wp:positionV>
            <wp:extent cx="7969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740" w:type="dxa"/>
            <w:vAlign w:val="bottom"/>
          </w:tcPr>
          <w:p>
            <w:pPr>
              <w:spacing w:after="0"/>
              <w:rPr>
                <w:sz w:val="21"/>
                <w:szCs w:val="21"/>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w:t>
            </w:r>
          </w:p>
        </w:tc>
        <w:tc>
          <w:tcPr>
            <w:tcW w:w="17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color w:val="auto"/>
                <w:w w:val="81"/>
              </w:rPr>
              <w:t>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48,551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9,301</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436,918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38,712</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689,082</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2025, our holdings of obligations of states and political subdivisions included general obligation bonds with an aggregate fair value of $291.7 million and an amortized cost of $317.5 million. Our holdings also included special revenue bonds with an aggregate fair value of $158.0 million and an amortized cost of $169.6 million. With respect to both categories of bonds, we held no securities of any issuer that comprised more than 10% of that category at December 31, 2025. Education bonds and water and sewer utility bonds represented 42% and 32%, respectively, of our total investments in special revenue bonds based on their carrying values at December 31, 2025. Many of the issuers of the special revenue bonds we held at December 31, 2025 have the authority to impose ad valorem taxes. In that respect, many of the special revenue bonds we held are similar to general obligation bonds.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$133,299 and $136,807 in other comprehensive (loss) income during the nine months ended September 30, 2026 and 2025, respectively. At September 30, 2026 and December 31, 2025, net unrealized losses of $720,407 and $853,706, respectively, remained within accumulated other comprehensive loss.</w:t>
      </w:r>
    </w:p>
    <w:p>
      <w:pPr>
        <w:spacing w:after="0" w:line="18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September 30, 2026 by contractual maturity. Expected maturities may differ from contractual maturities because issuers of the securities may have the right to call or prepay obligations with or without call or prepayment penalties.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3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Amortized Cost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17,093</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177,273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192,709</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311,159</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805,849</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704,587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28,721</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28,710</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30,014</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108,197</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52,367</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444,745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677,462</w:t>
            </w: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637,170</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736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September 30, 2026 were as follows:</w:t>
            </w: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20" w:type="dxa"/>
            <w:vAlign w:val="bottom"/>
          </w:tcPr>
          <w:p>
            <w:pPr>
              <w:spacing w:after="0"/>
              <w:rPr>
                <w:sz w:val="24"/>
                <w:szCs w:val="24"/>
                <w:color w:val="auto"/>
              </w:rPr>
            </w:pPr>
          </w:p>
        </w:tc>
        <w:tc>
          <w:tcPr>
            <w:tcW w:w="7360" w:type="dxa"/>
            <w:vAlign w:val="bottom"/>
            <w:gridSpan w:val="7"/>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22,236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51,054</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3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2025 were as follows: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27,238</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44,370</w:t>
            </w:r>
          </w:p>
        </w:tc>
        <w:tc>
          <w:tcPr>
            <w:tcW w:w="0" w:type="dxa"/>
            <w:vAlign w:val="bottom"/>
          </w:tcPr>
          <w:p>
            <w:pPr>
              <w:spacing w:after="0"/>
              <w:rPr>
                <w:sz w:val="1"/>
                <w:szCs w:val="1"/>
                <w:color w:val="auto"/>
              </w:rPr>
            </w:pPr>
          </w:p>
        </w:tc>
      </w:tr>
      <w:tr>
        <w:trPr>
          <w:trHeight w:val="571"/>
        </w:trPr>
        <w:tc>
          <w:tcPr>
            <w:tcW w:w="3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2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(1,705)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(1,458)</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24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held fixed maturities with unrealized losses at September 30, 2026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6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69,552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266,629</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67,805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172,555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316,650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96,698</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11,627</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686,271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$39,140</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605,434</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held fixed maturities with unrealized losses at December 31, 2025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76,506</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287,717</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183,026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8,995</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102,104</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88,887</w:t>
            </w: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193,524</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1,689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636,136</w:t>
            </w:r>
          </w:p>
        </w:tc>
        <w:tc>
          <w:tcPr>
            <w:tcW w:w="2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890 debt securities that were in an unrealized loss position at September 30, 2026. Based upon our analysis of general market conditions and underlying factors impacting these debt securities, we have determined that no additional allowance for expected credit loss is required beyond the allowance for expected credit loss we recorded at September 30, 2026.</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exclude accrued interest receivable from the estimated fair value and the amortized cost basis of our investment securities, and report such amounts separately on the Consolidated Balance Sheets as accrued investment income.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who is our Chief Executive Officer, evaluates the performance of the commercial lines and personal lines primarily based upon our insurance subsidiaries’ underwriting income or loss as determined under statutory accounting principles (“SAP”). This segmentation is consistent with the segmentation we utilize to manage our business. Our chief operating decision maker does not receive asset and liability information for each segment. We make resource allocation decisions based upon historical underwriting results as well as perceived opportunities for future profitable growth within each segment.</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operate only in the United States, and no single customer or agent provides 10 percent or more of our revenues. Financial data by segment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79,967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222,883</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14,690</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losses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segment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13,989</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236,872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237,658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88,109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136,003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74,723</w:t>
            </w: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SAP underwriting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adjustments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losses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0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40" w:type="dxa"/>
            <w:vAlign w:val="bottom"/>
            <w:gridSpan w:val="2"/>
            <w:vMerge w:val="continue"/>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229,822</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13,943</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13,943</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15,215</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140,289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245,037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245,919</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142,635</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73,510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SAP underwriting income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12,946</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13,943</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25,050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3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2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423,395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243,419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666,814</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43,467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43,467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45,554</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423,395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243,419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712,368</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714,773</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272,898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136,443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409,341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73,438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235,385</w:t>
            </w:r>
          </w:p>
        </w:tc>
        <w:tc>
          <w:tcPr>
            <w:tcW w:w="0" w:type="dxa"/>
            <w:vAlign w:val="bottom"/>
          </w:tcPr>
          <w:p>
            <w:pPr>
              <w:spacing w:after="0"/>
              <w:rPr>
                <w:sz w:val="1"/>
                <w:szCs w:val="1"/>
                <w:color w:val="auto"/>
              </w:rPr>
            </w:pPr>
          </w:p>
        </w:tc>
      </w:tr>
      <w:tr>
        <w:trPr>
          <w:trHeight w:val="223"/>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436,547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SAP underwriting (loss) income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(13,152)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33,538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20,386</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3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43,467</w:t>
            </w:r>
          </w:p>
        </w:tc>
        <w:tc>
          <w:tcPr>
            <w:tcW w:w="0" w:type="dxa"/>
            <w:vAlign w:val="bottom"/>
          </w:tcPr>
          <w:p>
            <w:pPr>
              <w:spacing w:after="0"/>
              <w:rPr>
                <w:sz w:val="1"/>
                <w:szCs w:val="1"/>
                <w:color w:val="auto"/>
              </w:rPr>
            </w:pPr>
          </w:p>
        </w:tc>
      </w:tr>
      <w:tr>
        <w:trPr>
          <w:trHeight w:val="21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10"/>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415,032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revenues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415,032</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279,267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256,569</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169,603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153,141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78,260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2,309</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412,019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247,863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SAP underwriting income</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31,404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56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  Borrowings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variable-rate cash advance of $35.0 million that was outstanding at September 30, 2026. The variable interest rate is equal to the current SOFR plus 0.293% and the cash advance is due in September 2028. The table below presents the amount of FHLB of Pittsburgh stock Atlantic States purchased, which is presented within equity securities on the Consolidated Balance Sheets, collateral pledged and assets related to Atlantic States’ membership in the FHLB of Pittsburgh at September 30, 2026.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2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1,714,500</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 pledged, at par (carrying value $44,951,489)</w:t>
            </w:r>
          </w:p>
        </w:tc>
        <w:tc>
          <w:tcPr>
            <w:tcW w:w="29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49,006,174</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29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7,421,473</w:t>
            </w: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agreement with Manufacturers and Traders Trust Company (“M&amp;T”) that related to a $20.0 million unsecured demand line of credit. The line of credit has no expiration date, no annual fees and no covenants. At September 30, 2026, we had no outstanding borrowings from M&amp;T and had the ability to borrow up to $20.0 million at an interest rate equal to the then-current Term SOFR rate plus 2.11%.</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measure all share-based compensation to employees, including grants of stock options and restricted stock units,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historically granted stock options on an annual basis at our December board meeting, which occurs in the middle of December. At its December 18, 2025 board meeting, our board of directors approved the recommendation of the compensation committee to change the form of equity awards we issue on an annual basis from stock options to restricted stock units and to delay issuance until the first day of the next calendar year. Accordingly, on January 1, 2026, we granted 115,500 restricted stock units to our officers and the officers of Donegal Mutual that will vest in three equal annual installments. We plan to grant restricted stock units on January 1 of each year. This practice will allow vesting under each grant to occur on the same date and for the value of the shares our officers and the officers of Donegal Mutual receive upon vesting of multiple grants to be calculated consistently using the closing price of Class A common stock on the last trading day of the preceding year.</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$232,001 and $296,162 for the three months ended September 30, 2026 and 2025, respectively, with a corresponding income tax benefit of $48,720 and $62,194, respectively. We recorded compensation expense related to our stock compensation plans of $882,127 and $893,154 for the nine months ended September 30, 2026 and 2025, respectively, with a corresponding income tax benefit of $185,247 and $187,562, respectively. At September 30, 2026, we had $1.5 million of unrecognized compensation expense related to nonvested share-based compensation granted under our stock compensation plans that we expect to recognize over a weighted average period of approximately 2.0 years.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received cash from option exercises under our stock compensation plans during the three months ended September 30, 2026 and 2025 of $4.2 million and $2.1 million, respectively. We received cash from option exercises under our stock compensation plans during the nine months ended September 30, 2026 and 2025 of $4.5 million and $14.2 million, respectively. We realized actual tax benefits for the tax deductions related to those option exercises of $289,105 and $132,692 for the three months ended September 30, 2026 and 2025, respectively. We realized actual tax benefits for the tax deductions related to those option exercises of $306,115 and $909,949 for the nine months ended September 30, 2026 and 2025, respectively.</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maturities and non-publicly traded equity securities as Level 2. Our fixed maturities consist of U.S. Treasury securities and obligations of U.S. government corporations and agencies, obligations of states and political subdivisions, corporate securities and mortgage-backed securities.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We present our investments in available-for-sale fixed-maturity and equity securities at estimated fair value. The estimated fair value of a security may differ from the amount that could be realized if we sold the security in a forced transaction. In addition, the valuation of fixed maturities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fixed-maturity and equity securities that have quoted prices in active markets. For fixed-maturity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September 30, 2026, we received two estimates per security from the pricing services, and we priced substantially all of our Level 1 and Level 2 investments using those prices. In our review of the estimates the pricing services provided at September 30, 2026, we did not identify any material discrepancies, and we did not make any adjustments to the estimates the pricing services provided.</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we report in our balance sheets for our borrowings approximate their fair values because the interest rate resets to a market rate on a regular basis. We classify these items as Level 2.</w:t>
      </w:r>
    </w:p>
    <w:p>
      <w:pPr>
        <w:spacing w:after="0" w:line="16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we report in our balance sheets for premium receivables, reinsurance receivables related to paid losses and loss expenses and reinsurance balances payable approximate their fair values. We classify these items as Level 3.</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evaluate our assets and liabilities to determine the appropriate level at which to classify them for each reporting period. Based on our review of the methodology and summary of inputs the pricing services use, we have concluded that our Level 1 and Level 2 investments were classified properly at September 30, 2026 and December 31,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recurring fair value measurements for our investments in available-for-sale fixed- maturity and equity securities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 (Level 1)</w:t>
            </w: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r>
      <w:tr>
        <w:trPr>
          <w:trHeight w:val="216"/>
        </w:trPr>
        <w:tc>
          <w:tcPr>
            <w:tcW w:w="5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24,366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47,339</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47,339</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417,882</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51,054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23,235</w:t>
            </w:r>
          </w:p>
        </w:tc>
        <w:tc>
          <w:tcPr>
            <w:tcW w:w="1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23,235</w:t>
            </w: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688,224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480" w:type="dxa"/>
            <w:vAlign w:val="bottom"/>
          </w:tcPr>
          <w:p>
            <w:pPr>
              <w:spacing w:after="0"/>
              <w:rPr>
                <w:sz w:val="24"/>
                <w:szCs w:val="24"/>
                <w:color w:val="auto"/>
              </w:rPr>
            </w:pPr>
          </w:p>
        </w:tc>
        <w:tc>
          <w:tcPr>
            <w:tcW w:w="108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recurring fair value measurements for our investments in available-for-sale fixed- maturity and equity securities at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16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1"/>
                <w:szCs w:val="2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220" w:type="dxa"/>
            <w:vAlign w:val="bottom"/>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100" w:type="dxa"/>
            <w:vAlign w:val="bottom"/>
          </w:tcPr>
          <w:p>
            <w:pPr>
              <w:spacing w:after="0"/>
              <w:rPr>
                <w:sz w:val="21"/>
                <w:szCs w:val="21"/>
                <w:color w:val="auto"/>
              </w:rPr>
            </w:pPr>
          </w:p>
        </w:tc>
      </w:tr>
      <w:tr>
        <w:trPr>
          <w:trHeight w:val="216"/>
        </w:trPr>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w:t>
            </w:r>
          </w:p>
        </w:tc>
        <w:tc>
          <w:tcPr>
            <w:tcW w:w="15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w w:val="89"/>
              </w:rPr>
              <w:t>thousands)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agencies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48,551</w:t>
            </w: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48,551</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436,918</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44,370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42,233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38,712</w:t>
            </w:r>
          </w:p>
        </w:tc>
        <w:tc>
          <w:tcPr>
            <w:tcW w:w="12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38,712</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723,805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642,860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At September 30, 2026 and December 31, 2025,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$7.5 million for our net state operating loss carryforward at September 30, 2026 and December 31, 2025, which will expire between 2026 and 2045. We have determined that we are not required to establish a valuation allowance for our other deferred tax assets of $38.9 million and $31.8 million at September 30, 2026 and December 31, 2025, respectively, because it is more likely than not that we will realize these deferred tax assets through reversals of existing temporary differences, future taxable income and the implementation of tax planning strategies.</w:t>
      </w:r>
    </w:p>
    <w:p>
      <w:pPr>
        <w:spacing w:after="0" w:line="192"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On July 4, 2025, a budget reconciliation package referred to as the One Big Beautiful Bill Act of 2025 (the “OBBBA”) was enacted. The tax provisions included within the OBBBA did not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Liabilities for Losses and Loss Expenses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differ from their loss and loss expense reserves or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Changes in our insurance subsidiaries’ estimate of their liabilities for losses and loss expenses generally reflect actual payments and their evaluation of information received subsequent to the prior reporting period.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1,120,985</w:t>
            </w:r>
          </w:p>
        </w:tc>
      </w:tr>
      <w:tr>
        <w:trPr>
          <w:trHeight w:val="22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240" w:type="dxa"/>
            <w:vAlign w:val="bottom"/>
          </w:tcPr>
          <w:p>
            <w:pPr>
              <w:spacing w:after="0"/>
              <w:rPr>
                <w:sz w:val="19"/>
                <w:szCs w:val="19"/>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(394,854)</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(416,621)</w:t>
            </w:r>
          </w:p>
        </w:tc>
      </w:tr>
      <w:tr>
        <w:trPr>
          <w:trHeight w:val="216"/>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705,196</w:t>
            </w: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704,364</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428,576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438,161</w:t>
            </w: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(17,014)</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(12,495)</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411,562</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194,850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203,886</w:t>
            </w:r>
          </w:p>
        </w:tc>
      </w:tr>
      <w:tr>
        <w:trPr>
          <w:trHeight w:val="223"/>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211,098</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395,372</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721,386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715,046</w:t>
            </w:r>
          </w:p>
        </w:tc>
      </w:tr>
      <w:tr>
        <w:trPr>
          <w:trHeight w:val="223"/>
        </w:trPr>
        <w:tc>
          <w:tcPr>
            <w:tcW w:w="8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406,090</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1,127,476</w:t>
            </w:r>
          </w:p>
        </w:tc>
        <w:tc>
          <w:tcPr>
            <w:tcW w:w="2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1,114,302</w:t>
            </w:r>
          </w:p>
        </w:tc>
      </w:tr>
      <w:tr>
        <w:trPr>
          <w:trHeight w:val="21"/>
        </w:trPr>
        <w:tc>
          <w:tcPr>
            <w:tcW w:w="3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$17.0 million and $12.5 million for the nine months ended September 30, 2026 and 2025,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2026 development represented 2.4% of the December 31, 2025 net carried reserves and resulted from lower-than-expected loss emergence and severity primarily in the commercial automobile, personal automobile, workers’ compensation and homeowners lines of business, offset partially by unfavorable development in the commercial multi-peril and other commercial lines of business that we attribute to higher-than-anticipated case reserve development. The majority of the 2026 development related to decreases in the liabilities for losses and loss expenses of prior years for Southern, Atlantic States, and MICO. The 2025 development represented 1.8% of the December 31, 2024 net carried reserves and resulted from lower-than-expected loss emergence or severity primarily in the commercial multi-peril, commercial automobile, personal automobile and homeowners lines of business, offset partially by unfavorable development in other commercial lines of business that we attribute to higher-than- anticipated case reserve development. The majority of the 2025 development related to decreases in the liabilities for losses and loss expenses of prior years for Atlantic States and The Peninsula Insurance Company.</w:t>
      </w:r>
    </w:p>
    <w:p>
      <w:pPr>
        <w:spacing w:after="0" w:line="19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nine months ended September 30, 2026.</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7" w:lineRule="exact"/>
        <w:rPr>
          <w:sz w:val="20"/>
          <w:szCs w:val="20"/>
          <w:color w:val="auto"/>
        </w:rPr>
      </w:pPr>
    </w:p>
    <w:p>
      <w:pPr>
        <w:jc w:val="both"/>
        <w:ind w:right="340" w:firstLine="324"/>
        <w:spacing w:after="0" w:line="257"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Allowance for Expected Credit Losses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 Maturities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8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September 30, 2026 and 2025 and changes in the allowance for expected credit losses for the three and nine months ended September 30,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r>
      <w:tr>
        <w:trPr>
          <w:trHeight w:val="245"/>
        </w:trPr>
        <w:tc>
          <w:tcPr>
            <w:tcW w:w="4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60" w:type="dxa"/>
            <w:vAlign w:val="bottom"/>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Ended September 30, 2026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September 30, 2025</w:t>
            </w:r>
          </w:p>
        </w:tc>
      </w:tr>
      <w:tr>
        <w:trPr>
          <w:trHeight w:val="194"/>
        </w:trPr>
        <w:tc>
          <w:tcPr>
            <w:tcW w:w="4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40" w:type="dxa"/>
            <w:vAlign w:val="bottom"/>
          </w:tcPr>
          <w:p>
            <w:pPr>
              <w:spacing w:after="0"/>
              <w:rPr>
                <w:sz w:val="18"/>
                <w:szCs w:val="18"/>
                <w:color w:val="auto"/>
              </w:rPr>
            </w:pPr>
          </w:p>
        </w:tc>
        <w:tc>
          <w:tcPr>
            <w:tcW w:w="11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6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4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0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737,356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r>
      <w:tr>
        <w:trPr>
          <w:trHeight w:val="27"/>
        </w:trPr>
        <w:tc>
          <w:tcPr>
            <w:tcW w:w="4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56"/>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804,647</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761,409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500" w:type="dxa"/>
            <w:vAlign w:val="bottom"/>
          </w:tcPr>
          <w:p>
            <w:pPr>
              <w:spacing w:after="0"/>
              <w:rPr>
                <w:sz w:val="24"/>
                <w:szCs w:val="24"/>
                <w:color w:val="auto"/>
              </w:rPr>
            </w:pPr>
          </w:p>
        </w:tc>
        <w:tc>
          <w:tcPr>
            <w:tcW w:w="120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w w:val="85"/>
              </w:rPr>
              <w:t>23</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4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At and For the Nine Months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At and For the Nine Months</w:t>
            </w:r>
          </w:p>
        </w:tc>
      </w:tr>
      <w:tr>
        <w:trPr>
          <w:trHeight w:val="245"/>
        </w:trPr>
        <w:tc>
          <w:tcPr>
            <w:tcW w:w="3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 September 30, 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Ended September 30, 2025</w:t>
            </w:r>
          </w:p>
        </w:tc>
      </w:tr>
      <w:tr>
        <w:trPr>
          <w:trHeight w:val="194"/>
        </w:trPr>
        <w:tc>
          <w:tcPr>
            <w:tcW w:w="3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Net of Allowance</w:t>
            </w:r>
          </w:p>
        </w:tc>
        <w:tc>
          <w:tcPr>
            <w:tcW w:w="120" w:type="dxa"/>
            <w:vAlign w:val="bottom"/>
          </w:tcPr>
          <w:p>
            <w:pPr>
              <w:spacing w:after="0"/>
              <w:rPr>
                <w:sz w:val="18"/>
                <w:szCs w:val="18"/>
                <w:color w:val="auto"/>
              </w:rPr>
            </w:pP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16"/>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Credit</w:t>
            </w:r>
          </w:p>
        </w:tc>
      </w:tr>
      <w:tr>
        <w:trPr>
          <w:trHeight w:val="245"/>
        </w:trPr>
        <w:tc>
          <w:tcPr>
            <w:tcW w:w="3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776,447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705,714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804,647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761,409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September 30, 2026 and 2025 and changes in the allowance for expected credit losses for the three and nine months ended September 30, 2026 and 2025.</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c>
          <w:tcPr>
            <w:tcW w:w="100" w:type="dxa"/>
            <w:vAlign w:val="bottom"/>
          </w:tcPr>
          <w:p>
            <w:pPr>
              <w:spacing w:after="0"/>
              <w:rPr>
                <w:sz w:val="18"/>
                <w:szCs w:val="18"/>
                <w:color w:val="auto"/>
              </w:rPr>
            </w:pPr>
          </w:p>
        </w:tc>
        <w:tc>
          <w:tcPr>
            <w:tcW w:w="2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r>
      <w:tr>
        <w:trPr>
          <w:trHeight w:val="245"/>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Ended September 30, 2026</w:t>
            </w:r>
          </w:p>
        </w:tc>
        <w:tc>
          <w:tcPr>
            <w:tcW w:w="100" w:type="dxa"/>
            <w:vAlign w:val="bottom"/>
          </w:tcPr>
          <w:p>
            <w:pPr>
              <w:spacing w:after="0"/>
              <w:rPr>
                <w:sz w:val="21"/>
                <w:szCs w:val="21"/>
                <w:color w:val="auto"/>
              </w:rPr>
            </w:pPr>
          </w:p>
        </w:tc>
        <w:tc>
          <w:tcPr>
            <w:tcW w:w="26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September 30, 2025</w:t>
            </w:r>
          </w:p>
        </w:tc>
      </w:tr>
      <w:tr>
        <w:trPr>
          <w:trHeight w:val="194"/>
        </w:trPr>
        <w:tc>
          <w:tcPr>
            <w:tcW w:w="5540" w:type="dxa"/>
            <w:vAlign w:val="bottom"/>
          </w:tcPr>
          <w:p>
            <w:pPr>
              <w:spacing w:after="0"/>
              <w:rPr>
                <w:sz w:val="16"/>
                <w:szCs w:val="16"/>
                <w:color w:val="auto"/>
              </w:rPr>
            </w:pPr>
          </w:p>
        </w:tc>
        <w:tc>
          <w:tcPr>
            <w:tcW w:w="158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Receivable, Net of</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Receivable, Net of</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540" w:type="dxa"/>
            <w:vAlign w:val="bottom"/>
          </w:tcPr>
          <w:p>
            <w:pPr>
              <w:spacing w:after="0"/>
              <w:rPr>
                <w:sz w:val="18"/>
                <w:szCs w:val="18"/>
                <w:color w:val="auto"/>
              </w:rPr>
            </w:pPr>
          </w:p>
        </w:tc>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3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5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413,119</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411,125</w:t>
            </w:r>
          </w:p>
        </w:tc>
        <w:tc>
          <w:tcPr>
            <w:tcW w:w="2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7"/>
        </w:trPr>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8"/>
                <w:szCs w:val="18"/>
                <w:color w:val="auto"/>
              </w:rPr>
            </w:pPr>
          </w:p>
        </w:tc>
      </w:tr>
      <w:tr>
        <w:trPr>
          <w:trHeight w:val="256"/>
        </w:trPr>
        <w:tc>
          <w:tcPr>
            <w:tcW w:w="55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9"/>
              </w:rPr>
              <w:t>410,095</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403,764</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3"/>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At and For the Nine Months</w:t>
            </w:r>
          </w:p>
        </w:tc>
        <w:tc>
          <w:tcPr>
            <w:tcW w:w="100" w:type="dxa"/>
            <w:vAlign w:val="bottom"/>
          </w:tcPr>
          <w:p>
            <w:pPr>
              <w:spacing w:after="0"/>
              <w:rPr>
                <w:sz w:val="24"/>
                <w:szCs w:val="24"/>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At and For the Nine Months</w:t>
            </w:r>
          </w:p>
        </w:tc>
      </w:tr>
      <w:tr>
        <w:trPr>
          <w:trHeight w:val="245"/>
        </w:trPr>
        <w:tc>
          <w:tcPr>
            <w:tcW w:w="5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Ended September 30, 2026</w:t>
            </w:r>
          </w:p>
        </w:tc>
        <w:tc>
          <w:tcPr>
            <w:tcW w:w="100" w:type="dxa"/>
            <w:vAlign w:val="bottom"/>
          </w:tcPr>
          <w:p>
            <w:pPr>
              <w:spacing w:after="0"/>
              <w:rPr>
                <w:sz w:val="21"/>
                <w:szCs w:val="21"/>
                <w:color w:val="auto"/>
              </w:rPr>
            </w:pPr>
          </w:p>
        </w:tc>
        <w:tc>
          <w:tcPr>
            <w:tcW w:w="26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September 30, 2025</w:t>
            </w:r>
          </w:p>
        </w:tc>
      </w:tr>
      <w:tr>
        <w:trPr>
          <w:trHeight w:val="194"/>
        </w:trPr>
        <w:tc>
          <w:tcPr>
            <w:tcW w:w="554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Receivable, Net of</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16"/>
        </w:trPr>
        <w:tc>
          <w:tcPr>
            <w:tcW w:w="5540" w:type="dxa"/>
            <w:vAlign w:val="bottom"/>
          </w:tcPr>
          <w:p>
            <w:pPr>
              <w:spacing w:after="0"/>
              <w:rPr>
                <w:sz w:val="18"/>
                <w:szCs w:val="18"/>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3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Expected</w:t>
            </w:r>
          </w:p>
        </w:tc>
      </w:tr>
      <w:tr>
        <w:trPr>
          <w:trHeight w:val="245"/>
        </w:trPr>
        <w:tc>
          <w:tcPr>
            <w:tcW w:w="5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r>
      <w:tr>
        <w:trPr>
          <w:trHeight w:val="216"/>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398,582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right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420,742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5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55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410,095</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2"/>
              </w:rPr>
              <w:t>403,764</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Impact of New Accounting Standards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public business entities for annual reporting periods beginning after December 15, 2026, and interim reporting periods beginning after December 15, 2027. The adoption of this guidance will not have an impact on our financial position, results of operations or cash flows.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them on a consolidated basis in accordance with United States generally accepted accounting principles (“GAAP”).</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5"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(including due to tariffs), availability and cost of skilled labor, the rate of litigation (including specialized plaintiff attorney involvement) in claims, increasing plaintiff attorney utilization of litigation financing and its impact on litigation strategies and the cost of medical technologies and procedures.Assumptions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September 30, 2026. At September 30, 2026, for every 1% change in our insurance subsidiaries’ loss and loss expense reserves, net of reinsurance recoverable, the effect on our pre-tax results of operations would be approximately $7.2 million.</w:t>
      </w:r>
    </w:p>
    <w:p>
      <w:pPr>
        <w:sectPr>
          <w:pgSz w:w="11900" w:h="16838" w:orient="portrait"/>
          <w:cols w:equalWidth="0" w:num="1">
            <w:col w:w="11200"/>
          </w:cols>
          <w:pgMar w:left="320" w:top="115" w:right="379" w:bottom="1440" w:gutter="0" w:footer="0" w:header="0"/>
        </w:sect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loss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September 30, 2026 and December 31, 2025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215,476</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62,879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53,249</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93,395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22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24,945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27,565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721,386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394,854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1,127,476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Change in Loss</w:t>
            </w:r>
          </w:p>
        </w:tc>
        <w:tc>
          <w:tcPr>
            <w:tcW w:w="120" w:type="dxa"/>
            <w:vAlign w:val="bottom"/>
          </w:tcPr>
          <w:p>
            <w:pPr>
              <w:spacing w:after="0"/>
              <w:rPr>
                <w:sz w:val="18"/>
                <w:szCs w:val="18"/>
                <w:color w:val="auto"/>
              </w:rPr>
            </w:pP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100" w:type="dxa"/>
            <w:vAlign w:val="bottom"/>
          </w:tcPr>
          <w:p>
            <w:pPr>
              <w:spacing w:after="0"/>
              <w:rPr>
                <w:sz w:val="18"/>
                <w:szCs w:val="18"/>
                <w:color w:val="auto"/>
              </w:rPr>
            </w:pP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100" w:type="dxa"/>
            <w:vAlign w:val="bottom"/>
          </w:tcPr>
          <w:p>
            <w:pPr>
              <w:spacing w:after="0"/>
              <w:rPr>
                <w:sz w:val="18"/>
                <w:szCs w:val="18"/>
                <w:color w:val="auto"/>
              </w:rPr>
            </w:pP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100" w:type="dxa"/>
            <w:vAlign w:val="bottom"/>
          </w:tcPr>
          <w:p>
            <w:pPr>
              <w:spacing w:after="0"/>
              <w:rPr>
                <w:sz w:val="18"/>
                <w:szCs w:val="18"/>
                <w:color w:val="auto"/>
              </w:rPr>
            </w:pP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Loss Expense Reserves</w:t>
            </w:r>
          </w:p>
        </w:tc>
        <w:tc>
          <w:tcPr>
            <w:tcW w:w="120" w:type="dxa"/>
            <w:vAlign w:val="bottom"/>
          </w:tcPr>
          <w:p>
            <w:pPr>
              <w:spacing w:after="0"/>
              <w:rPr>
                <w:sz w:val="18"/>
                <w:szCs w:val="18"/>
                <w:color w:val="auto"/>
              </w:rPr>
            </w:pP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c>
          <w:tcPr>
            <w:tcW w:w="100" w:type="dxa"/>
            <w:vAlign w:val="bottom"/>
          </w:tcPr>
          <w:p>
            <w:pPr>
              <w:spacing w:after="0"/>
              <w:rPr>
                <w:sz w:val="18"/>
                <w:szCs w:val="18"/>
                <w:color w:val="auto"/>
              </w:rPr>
            </w:pPr>
          </w:p>
        </w:tc>
        <w:tc>
          <w:tcPr>
            <w:tcW w:w="2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100" w:type="dxa"/>
            <w:vAlign w:val="bottom"/>
          </w:tcPr>
          <w:p>
            <w:pPr>
              <w:spacing w:after="0"/>
              <w:rPr>
                <w:sz w:val="18"/>
                <w:szCs w:val="18"/>
                <w:color w:val="auto"/>
              </w:rPr>
            </w:pP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in Stockholders’ Equity at</w:t>
            </w:r>
          </w:p>
        </w:tc>
      </w:tr>
      <w:tr>
        <w:trPr>
          <w:trHeight w:val="245"/>
        </w:trPr>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Net of Reinsurance</w:t>
            </w:r>
          </w:p>
        </w:tc>
        <w:tc>
          <w:tcPr>
            <w:tcW w:w="120" w:type="dxa"/>
            <w:vAlign w:val="bottom"/>
          </w:tcPr>
          <w:p>
            <w:pPr>
              <w:spacing w:after="0"/>
              <w:rPr>
                <w:sz w:val="21"/>
                <w:szCs w:val="21"/>
                <w:color w:val="auto"/>
              </w:rPr>
            </w:pPr>
          </w:p>
        </w:tc>
        <w:tc>
          <w:tcPr>
            <w:tcW w:w="2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September 30, 2026(1)</w:t>
            </w:r>
          </w:p>
        </w:tc>
        <w:tc>
          <w:tcPr>
            <w:tcW w:w="100" w:type="dxa"/>
            <w:vAlign w:val="bottom"/>
          </w:tcPr>
          <w:p>
            <w:pPr>
              <w:spacing w:after="0"/>
              <w:rPr>
                <w:sz w:val="21"/>
                <w:szCs w:val="21"/>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December 31, 2025(1)</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$649,247</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8.6%</w:t>
            </w:r>
          </w:p>
        </w:tc>
        <w:tc>
          <w:tcPr>
            <w:tcW w:w="2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$634,676</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w:t>
            </w:r>
          </w:p>
        </w:tc>
        <w:tc>
          <w:tcPr>
            <w:tcW w:w="2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667,282</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652,306</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6.5</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w:t>
            </w:r>
          </w:p>
        </w:tc>
        <w:tc>
          <w:tcPr>
            <w:tcW w:w="2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685,317</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669,936</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2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703,351</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687,566</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2.2</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2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721,386</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705,196</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739,421</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722,826</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(2.2)</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757,455</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(4.3)</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740,456</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(4.3)</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22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775,490</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(6.5)</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758,086</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(6.5)</w:t>
            </w:r>
          </w:p>
        </w:tc>
      </w:tr>
      <w:tr>
        <w:trPr>
          <w:trHeight w:val="216"/>
        </w:trPr>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2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793,525</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(8.6)</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775,716</w:t>
            </w:r>
          </w:p>
        </w:tc>
        <w:tc>
          <w:tcPr>
            <w:tcW w:w="22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Information</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 reconciliations of our net premiums earned to our net premiums written for the three and nine months ended September 30,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r>
      <w:tr>
        <w:trPr>
          <w:trHeight w:val="194"/>
        </w:trPr>
        <w:tc>
          <w:tcPr>
            <w:tcW w:w="7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142,916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222,883</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(17,388)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(13,150)</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125,528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209,733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r>
      <w:tr>
        <w:trPr>
          <w:trHeight w:val="194"/>
        </w:trPr>
        <w:tc>
          <w:tcPr>
            <w:tcW w:w="7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40" w:type="dxa"/>
            <w:vAlign w:val="bottom"/>
          </w:tcPr>
          <w:p>
            <w:pPr>
              <w:spacing w:after="0"/>
              <w:rPr>
                <w:sz w:val="21"/>
                <w:szCs w:val="21"/>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229,822</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(9,905)</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(10,207)</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r>
      <w:tr>
        <w:trPr>
          <w:trHeight w:val="194"/>
        </w:trPr>
        <w:tc>
          <w:tcPr>
            <w:tcW w:w="40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40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320" w:type="dxa"/>
            <w:vAlign w:val="bottom"/>
          </w:tcPr>
          <w:p>
            <w:pPr>
              <w:spacing w:after="0"/>
              <w:rPr>
                <w:sz w:val="21"/>
                <w:szCs w:val="21"/>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243,419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666,814</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12,344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(3,724)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8,620</w:t>
            </w:r>
          </w:p>
        </w:tc>
      </w:tr>
      <w:tr>
        <w:trPr>
          <w:trHeight w:val="256"/>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3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435,739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239,695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020" w:type="dxa"/>
            <w:vAlign w:val="bottom"/>
          </w:tcPr>
          <w:p>
            <w:pPr>
              <w:spacing w:after="0"/>
              <w:rPr>
                <w:sz w:val="24"/>
                <w:szCs w:val="24"/>
                <w:color w:val="auto"/>
              </w:rPr>
            </w:pPr>
          </w:p>
        </w:tc>
        <w:tc>
          <w:tcPr>
            <w:tcW w:w="3300" w:type="dxa"/>
            <w:vAlign w:val="bottom"/>
          </w:tcPr>
          <w:p>
            <w:pPr>
              <w:jc w:val="right"/>
              <w:ind w:right="1539"/>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r>
      <w:tr>
        <w:trPr>
          <w:trHeight w:val="194"/>
        </w:trPr>
        <w:tc>
          <w:tcPr>
            <w:tcW w:w="3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3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694,299</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20,884</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435,916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264,605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860" w:hanging="32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25" w:lineRule="exact"/>
        <w:rPr>
          <w:rFonts w:ascii="Times New Roman" w:cs="Times New Roman" w:eastAsia="Times New Roman" w:hAnsi="Times New Roman"/>
          <w:sz w:val="18"/>
          <w:szCs w:val="18"/>
          <w:color w:val="auto"/>
        </w:rPr>
      </w:pPr>
    </w:p>
    <w:p>
      <w:pPr>
        <w:ind w:left="860" w:right="540" w:hanging="32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spacing w:after="0" w:line="161" w:lineRule="exact"/>
        <w:rPr>
          <w:rFonts w:ascii="Times New Roman" w:cs="Times New Roman" w:eastAsia="Times New Roman" w:hAnsi="Times New Roman"/>
          <w:sz w:val="18"/>
          <w:szCs w:val="18"/>
          <w:color w:val="auto"/>
        </w:rPr>
      </w:pPr>
    </w:p>
    <w:p>
      <w:pPr>
        <w:ind w:left="860" w:hanging="326"/>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30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8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5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9"/>
                <w:szCs w:val="19"/>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33.5</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8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r>
      <w:tr>
        <w:trPr>
          <w:trHeight w:val="21"/>
        </w:trPr>
        <w:tc>
          <w:tcPr>
            <w:tcW w:w="5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612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128.1</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103.9</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w:t>
            </w:r>
          </w:p>
        </w:tc>
      </w:tr>
      <w:tr>
        <w:trPr>
          <w:trHeight w:val="216"/>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91.6</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106.0</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w:t>
            </w:r>
          </w:p>
        </w:tc>
      </w:tr>
      <w:tr>
        <w:trPr>
          <w:trHeight w:val="223"/>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6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100.7</w:t>
            </w:r>
          </w:p>
        </w:tc>
        <w:tc>
          <w:tcPr>
            <w:tcW w:w="2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84.4</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102.1</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89.4</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75.8</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w:t>
            </w:r>
          </w:p>
        </w:tc>
      </w:tr>
      <w:tr>
        <w:trPr>
          <w:trHeight w:val="223"/>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8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95.5%</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94.4 %</w:t>
            </w:r>
          </w:p>
        </w:tc>
      </w:tr>
      <w:tr>
        <w:trPr>
          <w:trHeight w:val="20"/>
        </w:trPr>
        <w:tc>
          <w:tcPr>
            <w:tcW w:w="5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8"/>
        </w:trPr>
        <w:tc>
          <w:tcPr>
            <w:tcW w:w="6120" w:type="dxa"/>
            <w:vAlign w:val="bottom"/>
            <w:gridSpan w:val="2"/>
          </w:tcPr>
          <w:p>
            <w:pPr>
              <w:ind w:left="5560"/>
              <w:spacing w:after="0"/>
              <w:rPr>
                <w:sz w:val="20"/>
                <w:szCs w:val="20"/>
                <w:color w:val="auto"/>
              </w:rPr>
            </w:pPr>
            <w:r>
              <w:rPr>
                <w:rFonts w:ascii="Times New Roman" w:cs="Times New Roman" w:eastAsia="Times New Roman" w:hAnsi="Times New Roman"/>
                <w:sz w:val="14"/>
                <w:szCs w:val="14"/>
                <w:color w:val="auto"/>
              </w:rPr>
              <w:t>30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5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2026 Compared to Three Months Ended September 30, 2025</w:t>
      </w:r>
    </w:p>
    <w:p>
      <w:pPr>
        <w:spacing w:after="0" w:line="227" w:lineRule="exact"/>
        <w:rPr>
          <w:sz w:val="20"/>
          <w:szCs w:val="20"/>
          <w:color w:val="auto"/>
        </w:rPr>
      </w:pPr>
    </w:p>
    <w:p>
      <w:pPr>
        <w:jc w:val="both"/>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third quarter of 2026 were $222.9 million, a decrease of $6.9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3.0%, compared to $229.8 million for the third quarter of 2025, primarily reflecting lower retention and renewal premium increases, offset partially by incremental growth in new business writings.</w:t>
      </w:r>
    </w:p>
    <w:p>
      <w:pPr>
        <w:spacing w:after="0" w:line="17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third quarter of 2026 were $209.7 million, a decrease of $9.9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4.5%, from the $219.6 million of net premiums written for the third quarter of 2025. Commercial lines net premiums written decreased $4.9 million, or 3.7%, for the third quarter of 2026 compared to the third quarter of 2025. Personal lines net premiums written decreased $5.0 million, or 5.6%, for the third quarter of 2026 compared to the third quarter of 2025. We attribute the decrease in commercial lines net premiums written primarily to modestly higher attrition and a lower level of renewal premium increases, offset partially by incremental growth in new business writings. We attribute the decrease in personal lines net premiums written primarily to a lower level of renewal premium increases, offset partially by incremental growth in new business writings that included the impact of our insurance subsidiaries’ introduction during the third quarter of 2026 of a 12-month automobile policy term option for new business policies.</w:t>
      </w:r>
    </w:p>
    <w:p>
      <w:pPr>
        <w:spacing w:after="0" w:line="185"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$14.7 million for the third quarter of 2026, an increase of $0.8 million, or 5.4%, compared to $13.9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third quarter of 2025. We attribute the increase primarily to an increase in the average investment yield relative to the third quarter of 2025.</w:t>
      </w:r>
    </w:p>
    <w:p>
      <w:pPr>
        <w:spacing w:after="0" w:line="15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Investment (Losses) Gains. </w:t>
      </w:r>
      <w:r>
        <w:rPr>
          <w:rFonts w:ascii="Times New Roman" w:cs="Times New Roman" w:eastAsia="Times New Roman" w:hAnsi="Times New Roman"/>
          <w:sz w:val="18"/>
          <w:szCs w:val="18"/>
          <w:color w:val="auto"/>
        </w:rPr>
        <w:t>Net investment losses for the third quarter of 2026 were $0.7 million, Net investment gains for the third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$1.3 million. The net investment losses for the third quarter of 2026 were primarily related to net realized investment losses on the strategic sales of available-for-sale fixed-maturity securities, offset partially by net unrealized gains in the fair value of equity securities held at September 30, 2026. Net investment gains of $1.3 million for the third quarter of 2025 were primarily related to net unrealized gains in the fair value of equity securities held at September 30, 2025, offset partially by net realized investment losses on the strategic sales of available-for-sale fixed-maturity securities.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 for the third quarter of 2026, a decrease from our insurance subsidiaries’ loss ratio of 62.1% for the third quarter of 2025. The core loss ratio,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weather-related losses, large fire losses and net development of reserves for losses incurred in prior accident years, was 51.8% for the third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2026, a modest increase from the core loss ratio of 51.1% for the third quarter of 2025. For the commercial lines segment, the core loss ratio of 57.2%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2026 increased from 54.0% for the third quarter of 2025. For the personal lines segment, the core loss ratio of 42.2% for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2026 decreased from 46.6% for the third quarter of 2025. We attribute the increase in the commercial lines core loss ratio primarily to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workers’ compensation and casualty loss severity. We attribute the decrease in the personal lines core loss ratio to the homeowners line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Weather-related losses were $19.1 million, or 8.6 percentage points of the loss ratio, for the third quarter of 2026, compared to $14.3 million, or 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points of the loss ratio, for the third quarter of 2025. The impact of weather-related loss activity to the loss ratio for the third quarter of 2026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than our previous five-year average of $20.4 million, or 9.3 percentage points of the loss ratio, for third quarter weather-related losses. Large fire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which we define as individual fire losses in excess of $50,000, for the third quarter of 2026 were $5.8 million, or 2.6 percentage points of the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compared to $10.0 million, or 4.4 percentage points of the loss ratio, for the third quarter of 2025. We experienced decreases in both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homeowners fire losses compared to the prior-year quarter. Our insurance subsidiaries’ commercial lines loss ratio was 62.3% for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of 2026, compared to 59.6% for the third quarter of 2025, primarily due to increases in the workers’ compensation, commercial multi-peril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commercial lines of business loss ratios, offset partially by a decrease in the commercial automobile line of business loss ratio. The personal lines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of our insurance subsidiaries decreased to 60.1% for the third quarter of 2026, compared to 66.0% for the third quarter of 2025. We attribute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primarily to decreases in the homeowners and personal automobile lines of business loss ratios. Our insurance subsidiaries experienced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loss reserve development of $3.5 million for the third quarter of 2026 that decreased the loss ratio by 1.5 percentage points, compared to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net unfavorable loss reserve development that increased the loss ratio for the third quarter of 2025 by 0.4 percentage points. Our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experienced favorable development primarily in the workers’ compensation, commercial automobile and homeowners lines of business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of 2026.</w:t>
      </w:r>
    </w:p>
    <w:p>
      <w:pPr>
        <w:spacing w:after="0" w:line="20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34.8% for the third quarter of 2026, compared to 33.5% for the third quarter of 2025. The increase in the expense ratio primarily reflected the impact of a lower base of net premiums earned compared to the prior-year quarter.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96.5% and 95.9% for the third quarter of 2026 and 2025, respectively. We attribute the increase in the combined ratio primarily to an increase in the expense ratio, offset partially by a decrease in the loss ratio, for the third quarter of 2026 compared to the third quarter of 2025.</w:t>
      </w:r>
    </w:p>
    <w:p>
      <w:pPr>
        <w:spacing w:after="0" w:line="180"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$3.9 million for the third quarter of 2026, representing an effective tax rate of 17.6%.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$5.0 million for the third quarter of 2025, representing an effective tax rate of 19.8%. The income tax expense for the third quarter of 2026 and 2025 represented estimates based on our projected annual taxable income and effective tax rates.</w:t>
      </w:r>
    </w:p>
    <w:p>
      <w:pPr>
        <w:spacing w:after="0" w:line="173"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third quarter of 2026 was $18.2 million, or $.49 per share of Class A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diluted basis and $.45 per share of Class B common stock, compared to $20.1 million, or $.55 per share of Class A common stock on a diluted basis and $.51 per share of Class B common stock, for the third quarter of 2025. We had 31.8 million and 31.0 million Class A shares outstanding at September 30, 2026 and 2025, respectively. We had5.6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2026 Compared to Nine Months Ended September 30, 2025</w:t>
      </w:r>
    </w:p>
    <w:p>
      <w:pPr>
        <w:spacing w:after="0" w:line="227"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nine months of 2026 were $666.8 million, a decrease of $27.5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4.0%, compared to $694.3 million for the first nine months of 2025, primarily reflecting lower retention and renewal premium increases, offset partially by incremental growth in new business writings.</w:t>
      </w:r>
    </w:p>
    <w:p>
      <w:pPr>
        <w:spacing w:after="0" w:line="173"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Premiums Written. </w:t>
      </w:r>
      <w:r>
        <w:rPr>
          <w:rFonts w:ascii="Times New Roman" w:cs="Times New Roman" w:eastAsia="Times New Roman" w:hAnsi="Times New Roman"/>
          <w:sz w:val="18"/>
          <w:szCs w:val="18"/>
          <w:color w:val="auto"/>
        </w:rPr>
        <w:t>Our insurance subsidiaries’ net premiums written for the first nine months of 2026 were $675.4 million, a decrease of $25.1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3.6%, from the $700.5 million of net premiums written for the first nine months of 2025. Commercial lines net premiums written remained relatively consistent for the first nine months of 2026 compared to the first nine months of 2025. Personal lines net premiums written decreased $24.9 million, or 9.4%, for the first nine months of 2026 compared to the first nine months of 2025. We attribute the decrease in personal lines net premiums written primarily to a lower level of renewal premium increases, offset partially by incremental growth in new business writings that included the impact of our insurance subsidiaries’ introduction during the third quarter of 2026 of a 12-month automobile policy term option for new business policies.</w:t>
      </w:r>
    </w:p>
    <w:p>
      <w:pPr>
        <w:spacing w:after="0" w:line="182"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$43.5 million for the first nine months of 2026, an increase of $5.0 million, or 13.0%,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$38.5 million for the first nine months of 2025. We attribute the increase primarily to an increase in the average investment yield and higher average invested assets relative to the first nine months of 2025.</w:t>
      </w:r>
    </w:p>
    <w:p>
      <w:pPr>
        <w:spacing w:after="0" w:line="173"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Investment Gains. </w:t>
      </w:r>
      <w:r>
        <w:rPr>
          <w:rFonts w:ascii="Times New Roman" w:cs="Times New Roman" w:eastAsia="Times New Roman" w:hAnsi="Times New Roman"/>
          <w:sz w:val="18"/>
          <w:szCs w:val="18"/>
          <w:color w:val="auto"/>
        </w:rPr>
        <w:t>Net investment gains for the first nine months of 2026 were $2.1 million, compared to $2.3 million for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net investment gains for the first nine months of 2026 and 2025 primarily related to unrealized gains in the fair value of equity securities, offset partially by net realized investment losses on the strategic sales of available-for-sale fixed-maturity securities. We did not recognize any impairment losses for individual securities in our investment portfolio during the first nine months of 2026 or 2025.</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61.7% for the first nine months of 2026, a slight increase from our insurance subsidiaries’ loss ratio of 61.3% for the first nine months of 2025. The core loss ratio, which excludes weather-related losses, large fire losses and net development of reserves for losses incurred in prior accident years, was 52.1% for the first nine months of 2026, compared to 51.8% for the first nine months of 2025. For the commercial lines segment, the core loss ratio of 56.2% for the first nine months of 2026 increased from 55.6% for the first nine months of 2025. For the personal lines segment, the core loss ratio of 44.9% for the first nine months of 2026 decreased from 46.2% for the first nine months of 2025. Weather-related losses were $48.2 million, or 7.2 percentage points of the loss ratio, for the first nine months of 2026, compared to $48.7 million, or 7.0 percentage points of the loss ratio, for the first nine months of 2025. Large fire losses for the first nine months of 2026 were $33.0 million, or 5.0 percentage points of the loss ratio, compared to $29.8 million, or 4.3 percentage points of the loss ratio, for the first nine months of 2025. Our insurance subsidiaries’ commercial lines loss ratio was 64.7% for the first nine months of 2026, compared to 61.7% for the first nine months of 2025, primarily due to increases in the commercial multi-peril and workers’ compensation loss ratios, offset partially by a decrease in the commercial automobile loss ratio. The personal lines loss ratio of our insurance subsidiaries decreased to 56.7% for the first nine months of 2026, compared to 60.7% for the first nine months of 2025. We attribute this decrease primarily to decreases in the homeowners and personal automobile loss ratios. Our insurance subsidiaries experienced favorable loss reserve development for the first nine months of 2026 of approximately $17.0 million that decreased the loss ratio by 2.6 percentage points, compared to $12.5 million that decreased the loss ratio for the first nine months of 2025 by 1.8 percentage points. Our insurance subsidiaries experienced favorable development primarily in the commercial automobile, personal automobile, workers’ compensation and homeowners lines of business for the first nine months of 2026, offset partially by unfavorable development in the commercial multi-peril and other commercial lines of business that we attribute to higher-than-anticipated case reserve development.</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Underwriting Expenses. </w:t>
      </w:r>
      <w:r>
        <w:rPr>
          <w:rFonts w:ascii="Times New Roman" w:cs="Times New Roman" w:eastAsia="Times New Roman" w:hAnsi="Times New Roman"/>
          <w:sz w:val="17"/>
          <w:szCs w:val="17"/>
          <w:color w:val="auto"/>
        </w:rPr>
        <w:t>The expense ratio for an insurance company is the ratio of policy acquisition costs and other underwriting expenses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premiums earned. The expense ratio of our insurance subsidiaries was 35.3% for the first nine months of 2026, compared to 33.4% for the first nine months of 2025. The increase in the expense ratio primarily reflected the impact of a lower base of net premiums earned compared to the first nine months of 2025.</w:t>
      </w:r>
    </w:p>
    <w:p>
      <w:pPr>
        <w:spacing w:after="0" w:line="15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97.3% and 95.1% for the first nine months of 2026 and 2025, respectively. We attribute the increase in the combined ratio primarily to an increase in the expense ratio for the first nine months of 2026 compared to the first nine months of 2025.</w:t>
      </w:r>
    </w:p>
    <w:p>
      <w:pPr>
        <w:spacing w:after="0" w:line="18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$11.7 million for the first nine months of 2026, representing an effective tax rate of 18.4%.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recorded income tax expense of $14.5 million for the first nine months of 2025, representing an effective tax rate of 18.9%. The income tax expense for the first nine months of 2026 and 2025 represented estimates based on our projected annual taxable income and effective tax rates.</w:t>
      </w:r>
    </w:p>
    <w:p>
      <w:pPr>
        <w:spacing w:after="0" w:line="17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nine months of 2026 was $52.0 million, or $1.40 per share of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 a diluted basis and $1.29 per share of Class B common stock, compared to $62.2 million, or $1.72 per share of Class A common stock on a diluted basis and $1.58 per share of Class B common stock, for the first nine months of 2025. We had 31.8 million and 31.0 million Class A shares outstanding at September 30, 2026 and 2025, respectively. We had 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maturing investments.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generated sufficient net positive cash flow to fund our commitments and add to our investment portfolio, thereby increasing future investment returns. The impact of the pooling agreement between Donegal Mutual and Atlantic States has historically been cash-flow positive because of the consistent underwriting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the first nine months of 2026 and 2025 were $41.0 million and $60.2 million, respectively.</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2026, we had no outstanding borrowings under our line of credit with M&amp;T and had the ability to borrow up to $20.0 million at an interest rate equal to the then-current Term SOFR rate plus 2.11%. At September 30, 2026, Atlantic States had a $35.0 million outstanding advance with the FHLB of Pittsburgh that carries a variable interest rate of the current SOFR plus 0.293% and is due in September 2028. We discuss in Note 7 – Borrowings our estimate of the timing of the amounts payable for the borrowings based on their contractual maturities.</w:t>
      </w:r>
    </w:p>
    <w:p>
      <w:pPr>
        <w:spacing w:after="0" w:line="18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Securities and Exchange Commission Rule 10b-18 and in privately negotiated transactions. We did not purchase any shares of our Class A common stock under this program during the nine months ended September 30, 2026 or 2025. We have purchased a total of 57,658 shares of our Class A common stock under this program from its inception through September 30, 2026.</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October 15, 2026, our board of directors declared quarterly cash dividends of $0.1925 per share of our Class A common stock and $0.175 per share of our Class B common stock, payable on November 16, 2026 to our stockholders of record as of the close of business on November 2, 2026. There are no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 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2025. Our insurance subsidiaries paid $10.0 million in dividends to us during the first nine months of 2026. Amounts remaining available for distribution to us as dividends from our insurance subsidiaries without prior approval of their domiciliary insurance regulatory authorities in 2026 are approximately $40.8 million from Atlantic States, $10.2 million from MICO and $5.4 million from Peninsula, or a total of approximately $56.4 million.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2026,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Our portfolio of fixed maturities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 maturities. We also limit the percentage and amount of our total investment portfolio that we invest in the securities of any one issuer. During the third quarter of 2026, market interest rates increased significantly, which had an adverse impact on the market value of our fixed maturities. We held fixed maturities with unrealized losses of $141.7 million at September 30, 2026, compared to $65.7 million at December 31, 2025. Based upon our analysis of general market conditions and underlying factors impacting these fixed maturities, we have determined that no additional allowance for expected credit loss is required beyond the allowance for expected credit loss we recorded at September 30, 2026.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bill the majority of this business directly to the insured, although we bill a portion of our commercial business through licensed insurance agents to whom our insurance subsidiaries extend credit in the normal course of business.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2025 through September 30, 2026.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September 30, 2026,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industry trends that could increase our loss costs (including distracted driving, higher rates of litigation, higher judicial awards and escalating medical, automobile and property repair costs, including due to tariffs), adverse and catastrophic weather events and other natural disasters (including from changing climate conditions), man-made disasters (such as terrorism), our ability to maintain profitable operations (including our ability to underwrite risks effectively and charge adequate premium rates), the adequacy of the loss and loss expense reserves of our insurance subsidiaries, the successful operation (including cost, security and availability) of the information technology systems our insurance subsidiaries utilize, the successful development and deployment of new technologies (including artificial intelligence, data modernization and cloud migration) to allow our insurance subsidiaries to compete effectively, the loss or significant restriction of the use of specific rating attributes, analytical models or technologies our insurance subsidiaries use in their pricing and underwriting, increases in assessments pursuant to guaranty fund laws, business and economic conditions in the areas in which we and our insurance subsidiaries operate (including from pandemics), interest rates and other factors impacting the investment portfolios of our insurance subsidiaries, competition from various insurance and other financial businesses (including changes in consumer preferences for insurance distribution channels), the availability and cost of reinsurance, legal and judicial developments, changes in regulatory requirements, our ability to attract and retain independent insurance agents (and their ability to maintain adequate levels of premium volume and quality),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2025 Annual Report on Form 10-K that we filed with the Securities and Exchange Commission on March 6, 2026. There have been no material changes in the risk factors we disclosed in that Form 10-K Report during the nine months ended September 30, 2026.</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 Total Number of Shares Approximate Dollar Value)</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 Units) that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 Total Number of Shares (b) Average Price Paid per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45"/>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21"/>
                <w:szCs w:val="21"/>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98"/>
        </w:trPr>
        <w:tc>
          <w:tcPr>
            <w:tcW w:w="2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#1</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8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6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2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1-31, 2026</w:t>
            </w:r>
          </w:p>
        </w:tc>
        <w:tc>
          <w:tcPr>
            <w:tcW w:w="8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B – None</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Month #2</w:t>
            </w:r>
          </w:p>
        </w:tc>
        <w:tc>
          <w:tcPr>
            <w:tcW w:w="80" w:type="dxa"/>
            <w:vAlign w:val="bottom"/>
          </w:tcPr>
          <w:p>
            <w:pPr>
              <w:spacing w:after="0"/>
              <w:rPr>
                <w:sz w:val="24"/>
                <w:szCs w:val="24"/>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 127,023</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 $19.01</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 127,023</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6"/>
        </w:trPr>
        <w:tc>
          <w:tcPr>
            <w:tcW w:w="2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August 1-31, 2026</w:t>
            </w:r>
          </w:p>
        </w:tc>
        <w:tc>
          <w:tcPr>
            <w:tcW w:w="80" w:type="dxa"/>
            <w:vAlign w:val="bottom"/>
          </w:tcPr>
          <w:p>
            <w:pPr>
              <w:spacing w:after="0"/>
              <w:rPr>
                <w:sz w:val="10"/>
                <w:szCs w:val="10"/>
                <w:color w:val="auto"/>
              </w:rPr>
            </w:pP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B – None</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#3</w:t>
            </w:r>
          </w:p>
        </w:tc>
        <w:tc>
          <w:tcPr>
            <w:tcW w:w="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Class A – 123,414</w:t>
            </w:r>
          </w:p>
        </w:tc>
        <w:tc>
          <w:tcPr>
            <w:tcW w:w="214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Class A – $19.26</w:t>
            </w:r>
          </w:p>
        </w:tc>
        <w:tc>
          <w:tcPr>
            <w:tcW w:w="2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123,414</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6"/>
        </w:trPr>
        <w:tc>
          <w:tcPr>
            <w:tcW w:w="2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1-30, 2026</w:t>
            </w:r>
          </w:p>
        </w:tc>
        <w:tc>
          <w:tcPr>
            <w:tcW w:w="80" w:type="dxa"/>
            <w:vAlign w:val="bottom"/>
            <w:shd w:val="clear" w:color="auto" w:fill="CCEEFF"/>
          </w:tcPr>
          <w:p>
            <w:pPr>
              <w:spacing w:after="0"/>
              <w:rPr>
                <w:sz w:val="10"/>
                <w:szCs w:val="10"/>
                <w:color w:val="auto"/>
              </w:rPr>
            </w:pPr>
          </w:p>
        </w:tc>
        <w:tc>
          <w:tcPr>
            <w:tcW w:w="21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4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B – None</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160" w:type="dxa"/>
            <w:vAlign w:val="bottom"/>
            <w:gridSpan w:val="2"/>
            <w:vMerge w:val="continue"/>
            <w:shd w:val="clear" w:color="auto" w:fill="CCEEFF"/>
          </w:tcPr>
          <w:p>
            <w:pPr>
              <w:spacing w:after="0"/>
              <w:rPr>
                <w:sz w:val="9"/>
                <w:szCs w:val="9"/>
                <w:color w:val="auto"/>
              </w:rPr>
            </w:pPr>
          </w:p>
        </w:tc>
        <w:tc>
          <w:tcPr>
            <w:tcW w:w="2140" w:type="dxa"/>
            <w:vAlign w:val="bottom"/>
            <w:gridSpan w:val="2"/>
            <w:vMerge w:val="continue"/>
            <w:shd w:val="clear" w:color="auto" w:fill="CCEEFF"/>
          </w:tcPr>
          <w:p>
            <w:pPr>
              <w:spacing w:after="0"/>
              <w:rPr>
                <w:sz w:val="9"/>
                <w:szCs w:val="9"/>
                <w:color w:val="auto"/>
              </w:rPr>
            </w:pPr>
          </w:p>
        </w:tc>
        <w:tc>
          <w:tcPr>
            <w:tcW w:w="2080" w:type="dxa"/>
            <w:vAlign w:val="bottom"/>
            <w:vMerge w:val="continue"/>
            <w:shd w:val="clear" w:color="auto" w:fill="CCEEFF"/>
          </w:tcPr>
          <w:p>
            <w:pPr>
              <w:spacing w:after="0"/>
              <w:rPr>
                <w:sz w:val="9"/>
                <w:szCs w:val="9"/>
                <w:color w:val="auto"/>
              </w:rPr>
            </w:pPr>
          </w:p>
        </w:tc>
        <w:tc>
          <w:tcPr>
            <w:tcW w:w="2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4"/>
                <w:szCs w:val="24"/>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 250,437</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 $19.13</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A–250,437</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B – None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20" w:right="100" w:hanging="326"/>
        <w:spacing w:after="0" w:line="261"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Donegal Mutual purchased these shares pursuant to its announcement on April 29, 2022 that it will, at its discretion, purchase shares of our Class A common stock and Class B common stock at market prices prevailing from time to time in the open market subject to the provisions of Securities and Exchange Commission Rule 10b-18 and in privately negotiated transactions. Such announcement did not stipulate a maximum number of shares that may be purchased under this program.</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385"/>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740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Reference</w:t>
            </w:r>
          </w:p>
        </w:tc>
      </w:tr>
      <w:tr>
        <w:trPr>
          <w:trHeight w:val="432"/>
        </w:trPr>
        <w:tc>
          <w:tcPr>
            <w:tcW w:w="32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Other Exhibits</w:t>
            </w:r>
          </w:p>
        </w:tc>
        <w:tc>
          <w:tcPr>
            <w:tcW w:w="7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70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7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Rule 13a-14(a)/15(d)-14(a) Certification of Chief Executive Officer.</w:t>
            </w:r>
          </w:p>
        </w:tc>
        <w:tc>
          <w:tcPr>
            <w:tcW w:w="2100" w:type="dxa"/>
            <w:vAlign w:val="bottom"/>
            <w:shd w:val="clear" w:color="auto" w:fill="CCEEFF"/>
          </w:tcPr>
          <w:p>
            <w:pPr>
              <w:ind w:left="9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70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7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Rule 13a-14(a)/15(d)-14(a) Certification of Chief Financial Officer.</w:t>
            </w:r>
          </w:p>
        </w:tc>
        <w:tc>
          <w:tcPr>
            <w:tcW w:w="2100" w:type="dxa"/>
            <w:vAlign w:val="bottom"/>
            <w:shd w:val="clear" w:color="auto" w:fill="CCEEFF"/>
          </w:tcPr>
          <w:p>
            <w:pPr>
              <w:ind w:left="9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70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7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Section 1350 Certification of Chief Executive Officer</w:t>
            </w:r>
          </w:p>
        </w:tc>
        <w:tc>
          <w:tcPr>
            <w:tcW w:w="2100" w:type="dxa"/>
            <w:vAlign w:val="bottom"/>
            <w:shd w:val="clear" w:color="auto" w:fill="CCEEFF"/>
          </w:tcPr>
          <w:p>
            <w:pPr>
              <w:ind w:left="9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70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7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Section 1350 Certification of Chief Financial Officer</w:t>
            </w:r>
          </w:p>
        </w:tc>
        <w:tc>
          <w:tcPr>
            <w:tcW w:w="2100" w:type="dxa"/>
            <w:vAlign w:val="bottom"/>
            <w:shd w:val="clear" w:color="auto" w:fill="CCEEFF"/>
          </w:tcPr>
          <w:p>
            <w:pPr>
              <w:ind w:left="960"/>
              <w:spacing w:after="0" w:line="176" w:lineRule="exact"/>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740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2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104</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1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571"/>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0" w:type="dxa"/>
            <w:vAlign w:val="bottom"/>
          </w:tcPr>
          <w:p>
            <w:pPr>
              <w:ind w:left="3820"/>
              <w:spacing w:after="0"/>
              <w:rPr>
                <w:sz w:val="20"/>
                <w:szCs w:val="20"/>
                <w:color w:val="auto"/>
              </w:rPr>
            </w:pPr>
            <w:r>
              <w:rPr>
                <w:rFonts w:ascii="Times New Roman" w:cs="Times New Roman" w:eastAsia="Times New Roman" w:hAnsi="Times New Roman"/>
                <w:sz w:val="14"/>
                <w:szCs w:val="14"/>
                <w:color w:val="auto"/>
              </w:rPr>
              <w:t>37</w:t>
            </w:r>
          </w:p>
        </w:tc>
        <w:tc>
          <w:tcPr>
            <w:tcW w:w="210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260" w:right="88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5, 2026</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19685</wp:posOffset>
            </wp:positionV>
            <wp:extent cx="33515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21"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November 5, 2026</w:t>
      </w:r>
      <w:r>
        <w:rPr>
          <w:sz w:val="20"/>
          <w:szCs w:val="20"/>
          <w:color w:val="auto"/>
        </w:rPr>
        <w:tab/>
      </w:r>
      <w:r>
        <w:rPr>
          <w:rFonts w:ascii="Times New Roman" w:cs="Times New Roman" w:eastAsia="Times New Roman" w:hAnsi="Times New Roman"/>
          <w:sz w:val="17"/>
          <w:szCs w:val="17"/>
          <w:b w:val="1"/>
          <w:bCs w:val="1"/>
          <w:color w:val="auto"/>
        </w:rPr>
        <w:t xml:space="preserve">By: </w:t>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19685</wp:posOffset>
            </wp:positionV>
            <wp:extent cx="33515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Jeffrey D. Miller,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6" w:right="4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25" w:lineRule="exact"/>
        <w:rPr>
          <w:sz w:val="20"/>
          <w:szCs w:val="20"/>
          <w:color w:val="auto"/>
        </w:rPr>
      </w:pPr>
    </w:p>
    <w:p>
      <w:pPr>
        <w:ind w:left="360" w:hanging="190"/>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Donegal Group Inc.;</w:t>
      </w:r>
    </w:p>
    <w:p>
      <w:pPr>
        <w:spacing w:after="0" w:line="225" w:lineRule="exact"/>
        <w:rPr>
          <w:rFonts w:ascii="Times New Roman" w:cs="Times New Roman" w:eastAsia="Times New Roman" w:hAnsi="Times New Roman"/>
          <w:sz w:val="18"/>
          <w:szCs w:val="18"/>
          <w:color w:val="auto"/>
        </w:rPr>
      </w:pPr>
    </w:p>
    <w:p>
      <w:pPr>
        <w:ind w:right="260" w:firstLine="170"/>
        <w:spacing w:after="0" w:line="282" w:lineRule="auto"/>
        <w:tabs>
          <w:tab w:leader="none" w:pos="3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40" w:firstLine="170"/>
        <w:spacing w:after="0" w:line="282" w:lineRule="auto"/>
        <w:tabs>
          <w:tab w:leader="none" w:pos="3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170"/>
        <w:spacing w:after="0" w:line="266" w:lineRule="auto"/>
        <w:tabs>
          <w:tab w:leader="none" w:pos="3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400" w:firstLine="332"/>
        <w:spacing w:after="0" w:line="266" w:lineRule="auto"/>
        <w:tabs>
          <w:tab w:leader="none" w:pos="6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40" w:firstLine="332"/>
        <w:spacing w:after="0" w:line="282" w:lineRule="auto"/>
        <w:tabs>
          <w:tab w:leader="none" w:pos="6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332"/>
        <w:spacing w:after="0" w:line="266" w:lineRule="auto"/>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170"/>
        <w:spacing w:after="0" w:line="282" w:lineRule="auto"/>
        <w:tabs>
          <w:tab w:leader="none" w:pos="4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60" w:firstLine="332"/>
        <w:spacing w:after="0" w:line="282" w:lineRule="auto"/>
        <w:tabs>
          <w:tab w:leader="none" w:pos="5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332"/>
        <w:spacing w:after="0" w:line="282" w:lineRule="auto"/>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Date:November 5, 2026</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25" w:lineRule="exact"/>
        <w:rPr>
          <w:sz w:val="20"/>
          <w:szCs w:val="20"/>
          <w:color w:val="auto"/>
        </w:rPr>
      </w:pPr>
    </w:p>
    <w:p>
      <w:pPr>
        <w:ind w:left="360" w:hanging="190"/>
        <w:spacing w:after="0"/>
        <w:tabs>
          <w:tab w:leader="none" w:pos="3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Donegal Group Inc.;</w:t>
      </w:r>
    </w:p>
    <w:p>
      <w:pPr>
        <w:spacing w:after="0" w:line="225" w:lineRule="exact"/>
        <w:rPr>
          <w:rFonts w:ascii="Times New Roman" w:cs="Times New Roman" w:eastAsia="Times New Roman" w:hAnsi="Times New Roman"/>
          <w:sz w:val="18"/>
          <w:szCs w:val="18"/>
          <w:color w:val="auto"/>
        </w:rPr>
      </w:pPr>
    </w:p>
    <w:p>
      <w:pPr>
        <w:ind w:right="260" w:firstLine="170"/>
        <w:spacing w:after="0" w:line="282" w:lineRule="auto"/>
        <w:tabs>
          <w:tab w:leader="none" w:pos="3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40" w:firstLine="170"/>
        <w:spacing w:after="0" w:line="282" w:lineRule="auto"/>
        <w:tabs>
          <w:tab w:leader="none" w:pos="3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60" w:firstLine="332"/>
        <w:spacing w:after="0" w:line="266" w:lineRule="auto"/>
        <w:tabs>
          <w:tab w:leader="none" w:pos="659"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62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940" w:firstLine="332"/>
        <w:spacing w:after="0" w:line="282" w:lineRule="auto"/>
        <w:tabs>
          <w:tab w:leader="none" w:pos="61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332"/>
        <w:spacing w:after="0" w:line="266" w:lineRule="auto"/>
        <w:tabs>
          <w:tab w:leader="none" w:pos="62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170"/>
        <w:spacing w:after="0" w:line="282" w:lineRule="auto"/>
        <w:tabs>
          <w:tab w:leader="none" w:pos="40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320" w:firstLine="332"/>
        <w:spacing w:after="0" w:line="282" w:lineRule="auto"/>
        <w:tabs>
          <w:tab w:leader="none" w:pos="61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332"/>
        <w:spacing w:after="0" w:line="282" w:lineRule="auto"/>
        <w:tabs>
          <w:tab w:leader="none" w:pos="579"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Date:November 5, 2026</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PRESIDENT AND CHIEF EXECUTIVE OFFICER PURSUANT TO</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Donegal Group Inc. (the “Company”), on Form 10-Q for the quarter ended September 30, 2026, as filed with the Securities and Exchange Commission (the “Report”), Kevin G. Burke, the President and Chief Executive Officer of the Company, does hereby certify, pursuant to § 906 of the Sarbanes-Oxley Act of 2002 (18 U.S.C.§ 1350), that to his knowledge:</w:t>
      </w:r>
    </w:p>
    <w:p>
      <w:pPr>
        <w:spacing w:after="0" w:line="176" w:lineRule="exact"/>
        <w:rPr>
          <w:sz w:val="20"/>
          <w:szCs w:val="20"/>
          <w:color w:val="auto"/>
        </w:rPr>
      </w:pPr>
    </w:p>
    <w:p>
      <w:pPr>
        <w:ind w:left="360" w:hanging="190"/>
        <w:spacing w:after="0"/>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PURSUANT TO 18 U.S.C.</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SECTION 1350,</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Donegal Group Inc. (the “Company”), on Form 10-Q for the quarter ended September 30, 2026,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360" w:hanging="19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190"/>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
    <w:nsid w:val="4DB127F8"/>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2026-11-05T14:18:37Z</dcterms:created>
  <dcterms:modified xsi:type="dcterms:W3CDTF">2026-11-05T14:18:37Z</dcterms:modified>
</cp:coreProperties>
</file>