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438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311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260985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169545</wp:posOffset>
            </wp:positionV>
            <wp:extent cx="235013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0135" cy="15875"/>
                    </a:xfrm>
                    <a:prstGeom prst="rect">
                      <a:avLst/>
                    </a:prstGeom>
                    <a:noFill/>
                  </pic:spPr>
                </pic:pic>
              </a:graphicData>
            </a:graphic>
          </wp:anchor>
        </w:drawing>
      </w:r>
    </w:p>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71755</wp:posOffset>
            </wp:positionV>
            <wp:extent cx="235013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0135" cy="15875"/>
                    </a:xfrm>
                    <a:prstGeom prst="rect">
                      <a:avLst/>
                    </a:prstGeom>
                    <a:noFill/>
                  </pic:spPr>
                </pic:pic>
              </a:graphicData>
            </a:graphic>
          </wp:anchor>
        </w:drawing>
      </w:r>
    </w:p>
    <w:p>
      <w:pPr>
        <w:spacing w:after="0" w:line="377" w:lineRule="exact"/>
        <w:rPr>
          <w:sz w:val="24"/>
          <w:szCs w:val="24"/>
          <w:color w:val="auto"/>
        </w:rPr>
      </w:pPr>
    </w:p>
    <w:p>
      <w:pPr>
        <w:ind w:left="1"/>
        <w:spacing w:after="0"/>
        <w:rPr>
          <w:sz w:val="20"/>
          <w:szCs w:val="20"/>
          <w:color w:val="auto"/>
        </w:rPr>
      </w:pPr>
      <w:r>
        <w:rPr>
          <w:rFonts w:ascii="Arial" w:cs="Arial" w:eastAsia="Arial" w:hAnsi="Arial"/>
          <w:sz w:val="16"/>
          <w:szCs w:val="16"/>
          <w:color w:val="auto"/>
        </w:rPr>
        <w:t>(Mark One)</w:t>
      </w:r>
    </w:p>
    <w:p>
      <w:pPr>
        <w:spacing w:after="0" w:line="207" w:lineRule="exact"/>
        <w:rPr>
          <w:sz w:val="24"/>
          <w:szCs w:val="24"/>
          <w:color w:val="auto"/>
        </w:rPr>
      </w:pPr>
    </w:p>
    <w:p>
      <w:pPr>
        <w:ind w:left="3821" w:right="2440" w:hanging="3821"/>
        <w:spacing w:after="0" w:line="267" w:lineRule="auto"/>
        <w:tabs>
          <w:tab w:leader="none" w:pos="43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96" w:lineRule="exact"/>
        <w:rPr>
          <w:sz w:val="24"/>
          <w:szCs w:val="24"/>
          <w:color w:val="auto"/>
        </w:rPr>
      </w:pPr>
    </w:p>
    <w:p>
      <w:pPr>
        <w:ind w:left="441" w:hanging="441"/>
        <w:spacing w:after="0"/>
        <w:tabs>
          <w:tab w:leader="none" w:pos="44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1" w:lineRule="exact"/>
        <w:rPr>
          <w:sz w:val="24"/>
          <w:szCs w:val="24"/>
          <w:color w:val="auto"/>
        </w:rPr>
      </w:pPr>
    </w:p>
    <w:p>
      <w:pPr>
        <w:jc w:val="center"/>
        <w:ind w:right="-20"/>
        <w:spacing w:after="0"/>
        <w:tabs>
          <w:tab w:leader="none" w:pos="720" w:val="left"/>
          <w:tab w:leader="none" w:pos="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189230</wp:posOffset>
            </wp:positionV>
            <wp:extent cx="235013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0135" cy="15875"/>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9"/>
          <w:szCs w:val="39"/>
          <w:b w:val="1"/>
          <w:bCs w:val="1"/>
          <w:color w:val="auto"/>
        </w:rPr>
        <w:t>Donegal Group Inc.</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179705</wp:posOffset>
            </wp:positionV>
            <wp:extent cx="235013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0135" cy="15875"/>
                    </a:xfrm>
                    <a:prstGeom prst="rect">
                      <a:avLst/>
                    </a:prstGeom>
                    <a:noFill/>
                  </pic:spPr>
                </pic:pic>
              </a:graphicData>
            </a:graphic>
          </wp:anchor>
        </w:drawing>
      </w:r>
    </w:p>
    <w:p>
      <w:pPr>
        <w:sectPr>
          <w:pgSz w:w="11900" w:h="16838" w:orient="portrait"/>
          <w:cols w:equalWidth="0" w:num="1">
            <w:col w:w="11241"/>
          </w:cols>
          <w:pgMar w:left="319" w:top="488" w:right="339" w:bottom="1440" w:gutter="0" w:footer="0" w:header="0"/>
        </w:sectPr>
      </w:pPr>
    </w:p>
    <w:p>
      <w:pPr>
        <w:spacing w:after="0" w:line="200" w:lineRule="exact"/>
        <w:rPr>
          <w:sz w:val="24"/>
          <w:szCs w:val="24"/>
          <w:color w:val="auto"/>
        </w:rPr>
      </w:pPr>
    </w:p>
    <w:p>
      <w:pPr>
        <w:spacing w:after="0" w:line="375" w:lineRule="exact"/>
        <w:rPr>
          <w:sz w:val="24"/>
          <w:szCs w:val="24"/>
          <w:color w:val="auto"/>
        </w:rPr>
      </w:pPr>
    </w:p>
    <w:p>
      <w:pPr>
        <w:ind w:left="2481"/>
        <w:spacing w:after="0"/>
        <w:rPr>
          <w:sz w:val="20"/>
          <w:szCs w:val="20"/>
          <w:color w:val="auto"/>
        </w:rPr>
      </w:pPr>
      <w:r>
        <w:rPr>
          <w:rFonts w:ascii="Arial" w:cs="Arial" w:eastAsia="Arial" w:hAnsi="Arial"/>
          <w:sz w:val="16"/>
          <w:szCs w:val="16"/>
          <w:b w:val="1"/>
          <w:bCs w:val="1"/>
          <w:color w:val="auto"/>
        </w:rPr>
        <w:t>Delaware</w:t>
      </w:r>
    </w:p>
    <w:p>
      <w:pPr>
        <w:spacing w:after="0" w:line="29" w:lineRule="exact"/>
        <w:rPr>
          <w:sz w:val="24"/>
          <w:szCs w:val="24"/>
          <w:color w:val="auto"/>
        </w:rPr>
      </w:pPr>
    </w:p>
    <w:p>
      <w:pPr>
        <w:ind w:left="1781"/>
        <w:spacing w:after="0"/>
        <w:rPr>
          <w:sz w:val="20"/>
          <w:szCs w:val="20"/>
          <w:color w:val="auto"/>
        </w:rPr>
      </w:pPr>
      <w:r>
        <w:rPr>
          <w:rFonts w:ascii="Arial" w:cs="Arial" w:eastAsia="Arial" w:hAnsi="Arial"/>
          <w:sz w:val="15"/>
          <w:szCs w:val="15"/>
          <w:b w:val="1"/>
          <w:bCs w:val="1"/>
          <w:color w:val="auto"/>
        </w:rPr>
        <w:t>(State or other jurisdiction of</w:t>
      </w:r>
    </w:p>
    <w:p>
      <w:pPr>
        <w:spacing w:after="0" w:line="25" w:lineRule="exact"/>
        <w:rPr>
          <w:sz w:val="24"/>
          <w:szCs w:val="24"/>
          <w:color w:val="auto"/>
        </w:rPr>
      </w:pPr>
    </w:p>
    <w:p>
      <w:pPr>
        <w:ind w:left="1741"/>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23-2424711</w:t>
      </w:r>
    </w:p>
    <w:p>
      <w:pPr>
        <w:spacing w:after="0" w:line="29"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(I.R.S. Employer</w:t>
      </w:r>
    </w:p>
    <w:p>
      <w:pPr>
        <w:spacing w:after="0" w:line="13" w:lineRule="exact"/>
        <w:rPr>
          <w:sz w:val="24"/>
          <w:szCs w:val="24"/>
          <w:color w:val="auto"/>
        </w:rPr>
      </w:pPr>
    </w:p>
    <w:p>
      <w:pPr>
        <w:jc w:val="center"/>
        <w:ind w:right="2160"/>
        <w:spacing w:after="0"/>
        <w:rPr>
          <w:sz w:val="20"/>
          <w:szCs w:val="20"/>
          <w:color w:val="auto"/>
        </w:rPr>
      </w:pPr>
      <w:r>
        <w:rPr>
          <w:rFonts w:ascii="Arial" w:cs="Arial" w:eastAsia="Arial" w:hAnsi="Arial"/>
          <w:sz w:val="15"/>
          <w:szCs w:val="15"/>
          <w:b w:val="1"/>
          <w:bCs w:val="1"/>
          <w:color w:val="auto"/>
        </w:rPr>
        <w:t>Identification No.)</w:t>
      </w:r>
    </w:p>
    <w:p>
      <w:pPr>
        <w:spacing w:after="0" w:line="200" w:lineRule="exact"/>
        <w:rPr>
          <w:sz w:val="24"/>
          <w:szCs w:val="24"/>
          <w:color w:val="auto"/>
        </w:rPr>
      </w:pPr>
    </w:p>
    <w:p>
      <w:pPr>
        <w:sectPr>
          <w:pgSz w:w="11900" w:h="16838" w:orient="portrait"/>
          <w:cols w:equalWidth="0" w:num="2">
            <w:col w:w="7081" w:space="720"/>
            <w:col w:w="3440"/>
          </w:cols>
          <w:pgMar w:left="319" w:top="488" w:right="339" w:bottom="1440" w:gutter="0" w:footer="0" w:header="0"/>
          <w:type w:val="continuous"/>
        </w:sectPr>
      </w:pPr>
    </w:p>
    <w:p>
      <w:pPr>
        <w:spacing w:after="0" w:line="7" w:lineRule="exact"/>
        <w:rPr>
          <w:sz w:val="24"/>
          <w:szCs w:val="24"/>
          <w:color w:val="auto"/>
        </w:rPr>
      </w:pPr>
    </w:p>
    <w:p>
      <w:pPr>
        <w:ind w:left="3821"/>
        <w:spacing w:after="0"/>
        <w:rPr>
          <w:sz w:val="20"/>
          <w:szCs w:val="20"/>
          <w:color w:val="auto"/>
        </w:rPr>
      </w:pPr>
      <w:r>
        <w:rPr>
          <w:rFonts w:ascii="Arial" w:cs="Arial" w:eastAsia="Arial" w:hAnsi="Arial"/>
          <w:sz w:val="15"/>
          <w:szCs w:val="15"/>
          <w:b w:val="1"/>
          <w:bCs w:val="1"/>
          <w:color w:val="auto"/>
        </w:rPr>
        <w:t>1195 River Road, P.O. Box 302, Marietta, PA 17547</w:t>
      </w:r>
    </w:p>
    <w:p>
      <w:pPr>
        <w:spacing w:after="0" w:line="40" w:lineRule="exact"/>
        <w:rPr>
          <w:sz w:val="24"/>
          <w:szCs w:val="24"/>
          <w:color w:val="auto"/>
        </w:rPr>
      </w:pPr>
    </w:p>
    <w:p>
      <w:pPr>
        <w:ind w:left="3881"/>
        <w:spacing w:after="0"/>
        <w:rPr>
          <w:sz w:val="20"/>
          <w:szCs w:val="20"/>
          <w:color w:val="auto"/>
        </w:rPr>
      </w:pPr>
      <w:r>
        <w:rPr>
          <w:rFonts w:ascii="Arial" w:cs="Arial" w:eastAsia="Arial" w:hAnsi="Arial"/>
          <w:sz w:val="15"/>
          <w:szCs w:val="15"/>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(717) 426-1931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241"/>
          </w:cols>
          <w:pgMar w:left="319" w:top="488"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189230</wp:posOffset>
            </wp:positionV>
            <wp:extent cx="235013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0135" cy="15875"/>
                    </a:xfrm>
                    <a:prstGeom prst="rect">
                      <a:avLst/>
                    </a:prstGeom>
                    <a:noFill/>
                  </pic:spPr>
                </pic:pic>
              </a:graphicData>
            </a:graphic>
          </wp:anchor>
        </w:drawing>
      </w:r>
    </w:p>
    <w:p>
      <w:pPr>
        <w:spacing w:after="0" w:line="365" w:lineRule="exact"/>
        <w:rPr>
          <w:sz w:val="24"/>
          <w:szCs w:val="24"/>
          <w:color w:val="auto"/>
        </w:rPr>
      </w:pPr>
    </w:p>
    <w:p>
      <w:pPr>
        <w:ind w:left="1" w:right="220" w:firstLine="403"/>
        <w:spacing w:after="0" w:line="210" w:lineRule="exact"/>
        <w:rPr>
          <w:sz w:val="20"/>
          <w:szCs w:val="20"/>
          <w:color w:val="auto"/>
        </w:rPr>
      </w:pPr>
      <w:r>
        <w:rPr>
          <w:rFonts w:ascii="Arial" w:cs="Arial" w:eastAsia="Arial" w:hAnsi="Arial"/>
          <w:sz w:val="16"/>
          <w:szCs w:val="16"/>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ind w:left="1" w:right="160" w:firstLine="403"/>
        <w:spacing w:after="0" w:line="30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p>
    <w:p>
      <w:pPr>
        <w:ind w:left="321" w:hanging="321"/>
        <w:spacing w:after="0" w:line="184" w:lineRule="exact"/>
        <w:tabs>
          <w:tab w:leader="none" w:pos="32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3" w:lineRule="exact"/>
        <w:rPr>
          <w:sz w:val="24"/>
          <w:szCs w:val="24"/>
          <w:color w:val="auto"/>
        </w:rPr>
      </w:pPr>
    </w:p>
    <w:p>
      <w:pPr>
        <w:ind w:left="1" w:right="240" w:firstLine="403"/>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1"/>
          </w:cols>
          <w:pgMar w:left="319" w:top="488" w:right="339" w:bottom="1440" w:gutter="0" w:footer="0" w:header="0"/>
          <w:type w:val="continuous"/>
        </w:sectPr>
      </w:pPr>
    </w:p>
    <w:p>
      <w:pPr>
        <w:spacing w:after="0" w:line="122" w:lineRule="exact"/>
        <w:rPr>
          <w:sz w:val="24"/>
          <w:szCs w:val="24"/>
          <w:color w:val="auto"/>
        </w:rPr>
      </w:pPr>
    </w:p>
    <w:p>
      <w:pPr>
        <w:ind w:left="1"/>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02" w:lineRule="exact"/>
        <w:rPr>
          <w:sz w:val="24"/>
          <w:szCs w:val="24"/>
          <w:color w:val="auto"/>
        </w:rPr>
      </w:pPr>
    </w:p>
    <w:p>
      <w:pPr>
        <w:sectPr>
          <w:pgSz w:w="11900" w:h="16838" w:orient="portrait"/>
          <w:cols w:equalWidth="0" w:num="4">
            <w:col w:w="2281" w:space="720"/>
            <w:col w:w="2080" w:space="720"/>
            <w:col w:w="2060" w:space="720"/>
            <w:col w:w="2660"/>
          </w:cols>
          <w:pgMar w:left="319" w:top="488" w:right="339" w:bottom="1440" w:gutter="0" w:footer="0" w:header="0"/>
          <w:type w:val="continuous"/>
        </w:sectPr>
      </w:pPr>
    </w:p>
    <w:p>
      <w:pPr>
        <w:ind w:left="1"/>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241"/>
          </w:cols>
          <w:pgMar w:left="319" w:top="488" w:right="339" w:bottom="1440" w:gutter="0" w:footer="0" w:header="0"/>
          <w:type w:val="continuous"/>
        </w:sectPr>
      </w:pPr>
    </w:p>
    <w:p>
      <w:pPr>
        <w:spacing w:after="0" w:line="185" w:lineRule="exact"/>
        <w:rPr>
          <w:sz w:val="24"/>
          <w:szCs w:val="24"/>
          <w:color w:val="auto"/>
        </w:rPr>
      </w:pPr>
    </w:p>
    <w:p>
      <w:pPr>
        <w:ind w:left="1" w:right="40" w:firstLine="403"/>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1" w:lineRule="exact"/>
        <w:rPr>
          <w:sz w:val="24"/>
          <w:szCs w:val="24"/>
          <w:color w:val="auto"/>
        </w:rPr>
      </w:pPr>
    </w:p>
    <w:p>
      <w:pPr>
        <w:ind w:left="401"/>
        <w:spacing w:after="0" w:line="184" w:lineRule="exact"/>
        <w:tabs>
          <w:tab w:leader="none" w:pos="8021"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tbl>
      <w:tblPr>
        <w:tblLayout w:type="fixed"/>
        <w:tblInd w:w="1" w:type="dxa"/>
        <w:tblCellMar>
          <w:top w:w="0" w:type="dxa"/>
          <w:left w:w="0" w:type="dxa"/>
          <w:bottom w:w="0" w:type="dxa"/>
          <w:right w:w="0" w:type="dxa"/>
        </w:tblCellMar>
      </w:tblPr>
      <w:tr>
        <w:trPr>
          <w:trHeight w:val="209"/>
        </w:trPr>
        <w:tc>
          <w:tcPr>
            <w:tcW w:w="350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3540" w:type="dxa"/>
            <w:vAlign w:val="bottom"/>
          </w:tcPr>
          <w:p>
            <w:pPr>
              <w:spacing w:after="0"/>
              <w:rPr>
                <w:sz w:val="18"/>
                <w:szCs w:val="18"/>
                <w:color w:val="auto"/>
              </w:rPr>
            </w:pPr>
          </w:p>
        </w:tc>
      </w:tr>
      <w:tr>
        <w:trPr>
          <w:trHeight w:val="401"/>
        </w:trPr>
        <w:tc>
          <w:tcPr>
            <w:tcW w:w="3500" w:type="dxa"/>
            <w:vAlign w:val="bottom"/>
            <w:tcBorders>
              <w:bottom w:val="single" w:sz="8" w:color="auto"/>
            </w:tcBorders>
          </w:tcPr>
          <w:p>
            <w:pPr>
              <w:jc w:val="center"/>
              <w:ind w:left="238"/>
              <w:spacing w:after="0"/>
              <w:rPr>
                <w:sz w:val="20"/>
                <w:szCs w:val="20"/>
                <w:color w:val="auto"/>
              </w:rPr>
            </w:pPr>
            <w:r>
              <w:rPr>
                <w:rFonts w:ascii="Arial" w:cs="Arial" w:eastAsia="Arial" w:hAnsi="Arial"/>
                <w:sz w:val="16"/>
                <w:szCs w:val="16"/>
                <w:color w:val="auto"/>
                <w:w w:val="94"/>
              </w:rPr>
              <w:t>Title of Each Class</w:t>
            </w:r>
          </w:p>
        </w:tc>
        <w:tc>
          <w:tcPr>
            <w:tcW w:w="4200" w:type="dxa"/>
            <w:vAlign w:val="bottom"/>
            <w:tcBorders>
              <w:bottom w:val="single" w:sz="8" w:color="auto"/>
            </w:tcBorders>
          </w:tcPr>
          <w:p>
            <w:pPr>
              <w:jc w:val="center"/>
              <w:ind w:left="78"/>
              <w:spacing w:after="0"/>
              <w:rPr>
                <w:sz w:val="20"/>
                <w:szCs w:val="20"/>
                <w:color w:val="auto"/>
              </w:rPr>
            </w:pPr>
            <w:r>
              <w:rPr>
                <w:rFonts w:ascii="Arial" w:cs="Arial" w:eastAsia="Arial" w:hAnsi="Arial"/>
                <w:sz w:val="16"/>
                <w:szCs w:val="16"/>
                <w:color w:val="auto"/>
                <w:w w:val="93"/>
              </w:rPr>
              <w:t>Trading Symbols</w:t>
            </w:r>
          </w:p>
        </w:tc>
        <w:tc>
          <w:tcPr>
            <w:tcW w:w="354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92"/>
              </w:rPr>
              <w:t>Name of Each Exchange on Which Registered</w:t>
            </w:r>
          </w:p>
        </w:tc>
      </w:tr>
      <w:tr>
        <w:trPr>
          <w:trHeight w:val="393"/>
        </w:trPr>
        <w:tc>
          <w:tcPr>
            <w:tcW w:w="3500" w:type="dxa"/>
            <w:vAlign w:val="bottom"/>
          </w:tcPr>
          <w:p>
            <w:pPr>
              <w:jc w:val="center"/>
              <w:ind w:left="238"/>
              <w:spacing w:after="0"/>
              <w:rPr>
                <w:sz w:val="20"/>
                <w:szCs w:val="20"/>
                <w:color w:val="auto"/>
              </w:rPr>
            </w:pPr>
            <w:r>
              <w:rPr>
                <w:rFonts w:ascii="Arial" w:cs="Arial" w:eastAsia="Arial" w:hAnsi="Arial"/>
                <w:sz w:val="16"/>
                <w:szCs w:val="16"/>
                <w:b w:val="1"/>
                <w:bCs w:val="1"/>
                <w:color w:val="auto"/>
                <w:w w:val="92"/>
              </w:rPr>
              <w:t>Class A Common Stock, $.01 par value</w:t>
            </w:r>
          </w:p>
        </w:tc>
        <w:tc>
          <w:tcPr>
            <w:tcW w:w="4200" w:type="dxa"/>
            <w:vAlign w:val="bottom"/>
          </w:tcPr>
          <w:p>
            <w:pPr>
              <w:jc w:val="center"/>
              <w:ind w:left="78"/>
              <w:spacing w:after="0"/>
              <w:rPr>
                <w:sz w:val="20"/>
                <w:szCs w:val="20"/>
                <w:color w:val="auto"/>
              </w:rPr>
            </w:pPr>
            <w:r>
              <w:rPr>
                <w:rFonts w:ascii="Arial" w:cs="Arial" w:eastAsia="Arial" w:hAnsi="Arial"/>
                <w:sz w:val="16"/>
                <w:szCs w:val="16"/>
                <w:b w:val="1"/>
                <w:bCs w:val="1"/>
                <w:color w:val="auto"/>
              </w:rPr>
              <w:t>DGICA</w:t>
            </w:r>
          </w:p>
        </w:tc>
        <w:tc>
          <w:tcPr>
            <w:tcW w:w="3540" w:type="dxa"/>
            <w:vAlign w:val="bottom"/>
          </w:tcPr>
          <w:p>
            <w:pPr>
              <w:jc w:val="center"/>
              <w:ind w:right="78"/>
              <w:spacing w:after="0"/>
              <w:rPr>
                <w:sz w:val="20"/>
                <w:szCs w:val="20"/>
                <w:color w:val="auto"/>
              </w:rPr>
            </w:pPr>
            <w:r>
              <w:rPr>
                <w:rFonts w:ascii="Arial" w:cs="Arial" w:eastAsia="Arial" w:hAnsi="Arial"/>
                <w:sz w:val="16"/>
                <w:szCs w:val="16"/>
                <w:b w:val="1"/>
                <w:bCs w:val="1"/>
                <w:color w:val="auto"/>
                <w:w w:val="96"/>
              </w:rPr>
              <w:t>The NASDAQ Global Select Market</w:t>
            </w:r>
          </w:p>
        </w:tc>
      </w:tr>
      <w:tr>
        <w:trPr>
          <w:trHeight w:val="395"/>
        </w:trPr>
        <w:tc>
          <w:tcPr>
            <w:tcW w:w="3500" w:type="dxa"/>
            <w:vAlign w:val="bottom"/>
          </w:tcPr>
          <w:p>
            <w:pPr>
              <w:jc w:val="center"/>
              <w:ind w:left="238"/>
              <w:spacing w:after="0"/>
              <w:rPr>
                <w:sz w:val="20"/>
                <w:szCs w:val="20"/>
                <w:color w:val="auto"/>
              </w:rPr>
            </w:pPr>
            <w:r>
              <w:rPr>
                <w:rFonts w:ascii="Arial" w:cs="Arial" w:eastAsia="Arial" w:hAnsi="Arial"/>
                <w:sz w:val="16"/>
                <w:szCs w:val="16"/>
                <w:b w:val="1"/>
                <w:bCs w:val="1"/>
                <w:color w:val="auto"/>
                <w:w w:val="92"/>
              </w:rPr>
              <w:t>Class B Common Stock, $.01 par value</w:t>
            </w:r>
          </w:p>
        </w:tc>
        <w:tc>
          <w:tcPr>
            <w:tcW w:w="4200" w:type="dxa"/>
            <w:vAlign w:val="bottom"/>
          </w:tcPr>
          <w:p>
            <w:pPr>
              <w:jc w:val="center"/>
              <w:ind w:left="78"/>
              <w:spacing w:after="0"/>
              <w:rPr>
                <w:sz w:val="20"/>
                <w:szCs w:val="20"/>
                <w:color w:val="auto"/>
              </w:rPr>
            </w:pPr>
            <w:r>
              <w:rPr>
                <w:rFonts w:ascii="Arial" w:cs="Arial" w:eastAsia="Arial" w:hAnsi="Arial"/>
                <w:sz w:val="16"/>
                <w:szCs w:val="16"/>
                <w:b w:val="1"/>
                <w:bCs w:val="1"/>
                <w:color w:val="auto"/>
              </w:rPr>
              <w:t>DGICB</w:t>
            </w:r>
          </w:p>
        </w:tc>
        <w:tc>
          <w:tcPr>
            <w:tcW w:w="3540" w:type="dxa"/>
            <w:vAlign w:val="bottom"/>
          </w:tcPr>
          <w:p>
            <w:pPr>
              <w:jc w:val="center"/>
              <w:ind w:right="78"/>
              <w:spacing w:after="0"/>
              <w:rPr>
                <w:sz w:val="20"/>
                <w:szCs w:val="20"/>
                <w:color w:val="auto"/>
              </w:rPr>
            </w:pPr>
            <w:r>
              <w:rPr>
                <w:rFonts w:ascii="Arial" w:cs="Arial" w:eastAsia="Arial" w:hAnsi="Arial"/>
                <w:sz w:val="16"/>
                <w:szCs w:val="16"/>
                <w:b w:val="1"/>
                <w:bCs w:val="1"/>
                <w:color w:val="auto"/>
                <w:w w:val="96"/>
              </w:rPr>
              <w:t>The NASDAQ Global Select Market</w:t>
            </w:r>
          </w:p>
        </w:tc>
      </w:tr>
    </w:tbl>
    <w:p>
      <w:pPr>
        <w:spacing w:after="0" w:line="186" w:lineRule="exact"/>
        <w:rPr>
          <w:sz w:val="24"/>
          <w:szCs w:val="24"/>
          <w:color w:val="auto"/>
        </w:rPr>
      </w:pPr>
    </w:p>
    <w:p>
      <w:pPr>
        <w:ind w:left="1" w:right="160" w:firstLine="403"/>
        <w:spacing w:after="0" w:line="324" w:lineRule="auto"/>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 27,668,853 shares of Class A Common Stock, par value $0.01 per share, and 5,576,775 shares of Class B Common Stock, par value $0.01 per share, outstanding on November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44385"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362585</wp:posOffset>
            </wp:positionV>
            <wp:extent cx="71443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48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color w:val="auto"/>
        </w:rPr>
        <w:t>DONEGAL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INDEX TO FORM 10-Q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 I</w:t>
            </w:r>
          </w:p>
        </w:tc>
        <w:tc>
          <w:tcPr>
            <w:tcW w:w="9780" w:type="dxa"/>
            <w:vAlign w:val="bottom"/>
            <w:gridSpan w:val="11"/>
            <w:shd w:val="clear" w:color="auto" w:fill="CCEEFF"/>
          </w:tcPr>
          <w:p>
            <w:pPr>
              <w:ind w:left="100"/>
              <w:spacing w:after="0"/>
              <w:rPr>
                <w:sz w:val="20"/>
                <w:szCs w:val="20"/>
                <w:color w:val="auto"/>
              </w:rPr>
            </w:pPr>
            <w:r>
              <w:rPr>
                <w:rFonts w:ascii="Arial" w:cs="Arial" w:eastAsia="Arial" w:hAnsi="Arial"/>
                <w:sz w:val="16"/>
                <w:szCs w:val="16"/>
                <w:color w:val="auto"/>
              </w:rPr>
              <w:t>FINANCIAL INFORMATION</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spacing w:after="0" w:line="161" w:lineRule="exact"/>
              <w:rPr>
                <w:sz w:val="20"/>
                <w:szCs w:val="20"/>
                <w:color w:val="auto"/>
              </w:rPr>
            </w:pPr>
            <w:r>
              <w:rPr>
                <w:rFonts w:ascii="Arial" w:cs="Arial" w:eastAsia="Arial" w:hAnsi="Arial"/>
                <w:sz w:val="16"/>
                <w:szCs w:val="16"/>
                <w:color w:val="auto"/>
              </w:rPr>
              <w:t>Item 1.</w:t>
            </w:r>
          </w:p>
        </w:tc>
        <w:tc>
          <w:tcPr>
            <w:tcW w:w="9780" w:type="dxa"/>
            <w:vAlign w:val="bottom"/>
            <w:gridSpan w:val="11"/>
          </w:tcPr>
          <w:p>
            <w:pPr>
              <w:ind w:left="100"/>
              <w:spacing w:after="0" w:line="161" w:lineRule="exact"/>
              <w:rPr>
                <w:sz w:val="20"/>
                <w:szCs w:val="20"/>
                <w:color w:val="auto"/>
              </w:rPr>
            </w:pPr>
            <w:r>
              <w:rPr>
                <w:rFonts w:ascii="Arial" w:cs="Arial" w:eastAsia="Arial" w:hAnsi="Arial"/>
                <w:sz w:val="16"/>
                <w:szCs w:val="16"/>
                <w:color w:val="0000EE"/>
              </w:rPr>
              <w:t>Financial Statements</w:t>
            </w:r>
          </w:p>
        </w:tc>
        <w:tc>
          <w:tcPr>
            <w:tcW w:w="660" w:type="dxa"/>
            <w:vAlign w:val="bottom"/>
          </w:tcPr>
          <w:p>
            <w:pPr>
              <w:jc w:val="center"/>
              <w:spacing w:after="0" w:line="161"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Item 2.</w:t>
            </w:r>
          </w:p>
        </w:tc>
        <w:tc>
          <w:tcPr>
            <w:tcW w:w="9780" w:type="dxa"/>
            <w:vAlign w:val="bottom"/>
            <w:gridSpan w:val="11"/>
            <w:shd w:val="clear" w:color="auto" w:fill="CCEEFF"/>
          </w:tcPr>
          <w:p>
            <w:pPr>
              <w:ind w:left="100"/>
              <w:spacing w:after="0" w:line="178"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900" w:type="dxa"/>
            <w:vAlign w:val="bottom"/>
            <w:shd w:val="clear" w:color="auto" w:fill="0000EE"/>
          </w:tcPr>
          <w:p>
            <w:pPr>
              <w:spacing w:after="0"/>
              <w:rPr>
                <w:sz w:val="3"/>
                <w:szCs w:val="3"/>
                <w:color w:val="auto"/>
              </w:rPr>
            </w:pPr>
          </w:p>
        </w:tc>
        <w:tc>
          <w:tcPr>
            <w:tcW w:w="1900" w:type="dxa"/>
            <w:vAlign w:val="bottom"/>
            <w:shd w:val="clear" w:color="auto" w:fill="0000EE"/>
          </w:tcPr>
          <w:p>
            <w:pPr>
              <w:spacing w:after="0"/>
              <w:rPr>
                <w:sz w:val="3"/>
                <w:szCs w:val="3"/>
                <w:color w:val="auto"/>
              </w:rPr>
            </w:pPr>
          </w:p>
        </w:tc>
        <w:tc>
          <w:tcPr>
            <w:tcW w:w="3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spacing w:after="0" w:line="161" w:lineRule="exact"/>
              <w:rPr>
                <w:sz w:val="20"/>
                <w:szCs w:val="20"/>
                <w:color w:val="auto"/>
              </w:rPr>
            </w:pPr>
            <w:r>
              <w:rPr>
                <w:rFonts w:ascii="Arial" w:cs="Arial" w:eastAsia="Arial" w:hAnsi="Arial"/>
                <w:sz w:val="16"/>
                <w:szCs w:val="16"/>
                <w:color w:val="auto"/>
              </w:rPr>
              <w:t>Item 3.</w:t>
            </w:r>
          </w:p>
        </w:tc>
        <w:tc>
          <w:tcPr>
            <w:tcW w:w="9780" w:type="dxa"/>
            <w:vAlign w:val="bottom"/>
            <w:gridSpan w:val="11"/>
          </w:tcPr>
          <w:p>
            <w:pPr>
              <w:ind w:left="100"/>
              <w:spacing w:after="0" w:line="161" w:lineRule="exact"/>
              <w:rPr>
                <w:sz w:val="20"/>
                <w:szCs w:val="20"/>
                <w:color w:val="auto"/>
              </w:rPr>
            </w:pPr>
            <w:r>
              <w:rPr>
                <w:rFonts w:ascii="Arial" w:cs="Arial" w:eastAsia="Arial" w:hAnsi="Arial"/>
                <w:sz w:val="16"/>
                <w:szCs w:val="16"/>
                <w:color w:val="0000EE"/>
              </w:rPr>
              <w:t>Quantitative and Qualitative Disclosures About Market Risk</w:t>
            </w:r>
          </w:p>
        </w:tc>
        <w:tc>
          <w:tcPr>
            <w:tcW w:w="660" w:type="dxa"/>
            <w:vAlign w:val="bottom"/>
          </w:tcPr>
          <w:p>
            <w:pPr>
              <w:jc w:val="center"/>
              <w:spacing w:after="0" w:line="161" w:lineRule="exact"/>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Item 4.</w:t>
            </w:r>
          </w:p>
        </w:tc>
        <w:tc>
          <w:tcPr>
            <w:tcW w:w="9780" w:type="dxa"/>
            <w:vAlign w:val="bottom"/>
            <w:gridSpan w:val="11"/>
            <w:shd w:val="clear" w:color="auto" w:fill="CCEEFF"/>
          </w:tcPr>
          <w:p>
            <w:pPr>
              <w:ind w:left="100"/>
              <w:spacing w:after="0" w:line="178" w:lineRule="exact"/>
              <w:rPr>
                <w:sz w:val="20"/>
                <w:szCs w:val="20"/>
                <w:color w:val="auto"/>
              </w:rPr>
            </w:pPr>
            <w:r>
              <w:rPr>
                <w:rFonts w:ascii="Arial" w:cs="Arial" w:eastAsia="Arial" w:hAnsi="Arial"/>
                <w:sz w:val="16"/>
                <w:szCs w:val="16"/>
                <w:color w:val="0000EE"/>
              </w:rPr>
              <w:t>Controls and Procedures</w:t>
            </w: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38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 II</w:t>
            </w:r>
          </w:p>
        </w:tc>
        <w:tc>
          <w:tcPr>
            <w:tcW w:w="9780" w:type="dxa"/>
            <w:vAlign w:val="bottom"/>
            <w:gridSpan w:val="11"/>
            <w:shd w:val="clear" w:color="auto" w:fill="CCEEFF"/>
          </w:tcPr>
          <w:p>
            <w:pPr>
              <w:ind w:left="100"/>
              <w:spacing w:after="0"/>
              <w:rPr>
                <w:sz w:val="20"/>
                <w:szCs w:val="20"/>
                <w:color w:val="auto"/>
              </w:rPr>
            </w:pPr>
            <w:r>
              <w:rPr>
                <w:rFonts w:ascii="Arial" w:cs="Arial" w:eastAsia="Arial" w:hAnsi="Arial"/>
                <w:sz w:val="16"/>
                <w:szCs w:val="16"/>
                <w:color w:val="auto"/>
              </w:rPr>
              <w:t>OTHER INFORMATION</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spacing w:after="0" w:line="161" w:lineRule="exact"/>
              <w:rPr>
                <w:sz w:val="20"/>
                <w:szCs w:val="20"/>
                <w:color w:val="auto"/>
              </w:rPr>
            </w:pPr>
            <w:r>
              <w:rPr>
                <w:rFonts w:ascii="Arial" w:cs="Arial" w:eastAsia="Arial" w:hAnsi="Arial"/>
                <w:sz w:val="16"/>
                <w:szCs w:val="16"/>
                <w:color w:val="auto"/>
              </w:rPr>
              <w:t>Item 1.</w:t>
            </w:r>
          </w:p>
        </w:tc>
        <w:tc>
          <w:tcPr>
            <w:tcW w:w="9780" w:type="dxa"/>
            <w:vAlign w:val="bottom"/>
            <w:gridSpan w:val="11"/>
          </w:tcPr>
          <w:p>
            <w:pPr>
              <w:ind w:left="100"/>
              <w:spacing w:after="0" w:line="161" w:lineRule="exact"/>
              <w:rPr>
                <w:sz w:val="20"/>
                <w:szCs w:val="20"/>
                <w:color w:val="auto"/>
              </w:rPr>
            </w:pPr>
            <w:r>
              <w:rPr>
                <w:rFonts w:ascii="Arial" w:cs="Arial" w:eastAsia="Arial" w:hAnsi="Arial"/>
                <w:sz w:val="16"/>
                <w:szCs w:val="16"/>
                <w:color w:val="0000EE"/>
              </w:rPr>
              <w:t>Legal Proceedings</w:t>
            </w:r>
          </w:p>
        </w:tc>
        <w:tc>
          <w:tcPr>
            <w:tcW w:w="660" w:type="dxa"/>
            <w:vAlign w:val="bottom"/>
          </w:tcPr>
          <w:p>
            <w:pPr>
              <w:jc w:val="center"/>
              <w:spacing w:after="0" w:line="161" w:lineRule="exact"/>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Item 1A.</w:t>
            </w:r>
          </w:p>
        </w:tc>
        <w:tc>
          <w:tcPr>
            <w:tcW w:w="9780" w:type="dxa"/>
            <w:vAlign w:val="bottom"/>
            <w:gridSpan w:val="11"/>
            <w:shd w:val="clear" w:color="auto" w:fill="CCEEFF"/>
          </w:tcPr>
          <w:p>
            <w:pPr>
              <w:ind w:left="100"/>
              <w:spacing w:after="0" w:line="178" w:lineRule="exact"/>
              <w:rPr>
                <w:sz w:val="20"/>
                <w:szCs w:val="20"/>
                <w:color w:val="auto"/>
              </w:rPr>
            </w:pPr>
            <w:r>
              <w:rPr>
                <w:rFonts w:ascii="Arial" w:cs="Arial" w:eastAsia="Arial" w:hAnsi="Arial"/>
                <w:sz w:val="16"/>
                <w:szCs w:val="16"/>
                <w:color w:val="0000EE"/>
              </w:rPr>
              <w:t>Risk Factors</w:t>
            </w: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3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spacing w:after="0" w:line="161" w:lineRule="exact"/>
              <w:rPr>
                <w:sz w:val="20"/>
                <w:szCs w:val="20"/>
                <w:color w:val="auto"/>
              </w:rPr>
            </w:pPr>
            <w:r>
              <w:rPr>
                <w:rFonts w:ascii="Arial" w:cs="Arial" w:eastAsia="Arial" w:hAnsi="Arial"/>
                <w:sz w:val="16"/>
                <w:szCs w:val="16"/>
                <w:color w:val="auto"/>
              </w:rPr>
              <w:t>Item 2.</w:t>
            </w:r>
          </w:p>
        </w:tc>
        <w:tc>
          <w:tcPr>
            <w:tcW w:w="9780" w:type="dxa"/>
            <w:vAlign w:val="bottom"/>
            <w:gridSpan w:val="11"/>
          </w:tcPr>
          <w:p>
            <w:pPr>
              <w:ind w:left="100"/>
              <w:spacing w:after="0" w:line="161" w:lineRule="exact"/>
              <w:rPr>
                <w:sz w:val="20"/>
                <w:szCs w:val="20"/>
                <w:color w:val="auto"/>
              </w:rPr>
            </w:pPr>
            <w:r>
              <w:rPr>
                <w:rFonts w:ascii="Arial" w:cs="Arial" w:eastAsia="Arial" w:hAnsi="Arial"/>
                <w:sz w:val="16"/>
                <w:szCs w:val="16"/>
                <w:color w:val="0000EE"/>
              </w:rPr>
              <w:t>Unregistered Sales of Equity Securities and Use of Proceeds</w:t>
            </w:r>
          </w:p>
        </w:tc>
        <w:tc>
          <w:tcPr>
            <w:tcW w:w="660" w:type="dxa"/>
            <w:vAlign w:val="bottom"/>
          </w:tcPr>
          <w:p>
            <w:pPr>
              <w:jc w:val="center"/>
              <w:spacing w:after="0" w:line="161"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Item 3.</w:t>
            </w:r>
          </w:p>
        </w:tc>
        <w:tc>
          <w:tcPr>
            <w:tcW w:w="9780" w:type="dxa"/>
            <w:vAlign w:val="bottom"/>
            <w:gridSpan w:val="11"/>
            <w:shd w:val="clear" w:color="auto" w:fill="CCEEFF"/>
          </w:tcPr>
          <w:p>
            <w:pPr>
              <w:ind w:left="100"/>
              <w:spacing w:after="0" w:line="178" w:lineRule="exact"/>
              <w:rPr>
                <w:sz w:val="20"/>
                <w:szCs w:val="20"/>
                <w:color w:val="auto"/>
              </w:rPr>
            </w:pPr>
            <w:r>
              <w:rPr>
                <w:rFonts w:ascii="Arial" w:cs="Arial" w:eastAsia="Arial" w:hAnsi="Arial"/>
                <w:sz w:val="16"/>
                <w:szCs w:val="16"/>
                <w:color w:val="0000EE"/>
              </w:rPr>
              <w:t>Defaults upon Senior Securities</w:t>
            </w: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3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spacing w:after="0" w:line="161" w:lineRule="exact"/>
              <w:rPr>
                <w:sz w:val="20"/>
                <w:szCs w:val="20"/>
                <w:color w:val="auto"/>
              </w:rPr>
            </w:pPr>
            <w:r>
              <w:rPr>
                <w:rFonts w:ascii="Arial" w:cs="Arial" w:eastAsia="Arial" w:hAnsi="Arial"/>
                <w:sz w:val="16"/>
                <w:szCs w:val="16"/>
                <w:color w:val="auto"/>
              </w:rPr>
              <w:t>Item 4.</w:t>
            </w:r>
          </w:p>
        </w:tc>
        <w:tc>
          <w:tcPr>
            <w:tcW w:w="9780" w:type="dxa"/>
            <w:vAlign w:val="bottom"/>
            <w:gridSpan w:val="11"/>
          </w:tcPr>
          <w:p>
            <w:pPr>
              <w:ind w:left="100"/>
              <w:spacing w:after="0" w:line="161" w:lineRule="exact"/>
              <w:rPr>
                <w:sz w:val="20"/>
                <w:szCs w:val="20"/>
                <w:color w:val="auto"/>
              </w:rPr>
            </w:pPr>
            <w:r>
              <w:rPr>
                <w:rFonts w:ascii="Arial" w:cs="Arial" w:eastAsia="Arial" w:hAnsi="Arial"/>
                <w:sz w:val="16"/>
                <w:szCs w:val="16"/>
                <w:color w:val="0000EE"/>
              </w:rPr>
              <w:t>Mine Safety Disclosure</w:t>
            </w:r>
          </w:p>
        </w:tc>
        <w:tc>
          <w:tcPr>
            <w:tcW w:w="660" w:type="dxa"/>
            <w:vAlign w:val="bottom"/>
          </w:tcPr>
          <w:p>
            <w:pPr>
              <w:jc w:val="center"/>
              <w:spacing w:after="0" w:line="161"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Item 5.</w:t>
            </w:r>
          </w:p>
        </w:tc>
        <w:tc>
          <w:tcPr>
            <w:tcW w:w="9780" w:type="dxa"/>
            <w:vAlign w:val="bottom"/>
            <w:gridSpan w:val="11"/>
            <w:shd w:val="clear" w:color="auto" w:fill="CCEEFF"/>
          </w:tcPr>
          <w:p>
            <w:pPr>
              <w:ind w:left="100"/>
              <w:spacing w:after="0" w:line="178" w:lineRule="exact"/>
              <w:rPr>
                <w:sz w:val="20"/>
                <w:szCs w:val="20"/>
                <w:color w:val="auto"/>
              </w:rPr>
            </w:pPr>
            <w:r>
              <w:rPr>
                <w:rFonts w:ascii="Arial" w:cs="Arial" w:eastAsia="Arial" w:hAnsi="Arial"/>
                <w:sz w:val="16"/>
                <w:szCs w:val="16"/>
                <w:color w:val="0000EE"/>
              </w:rPr>
              <w:t>Other Information</w:t>
            </w: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3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spacing w:after="0" w:line="161" w:lineRule="exact"/>
              <w:rPr>
                <w:sz w:val="20"/>
                <w:szCs w:val="20"/>
                <w:color w:val="auto"/>
              </w:rPr>
            </w:pPr>
            <w:r>
              <w:rPr>
                <w:rFonts w:ascii="Arial" w:cs="Arial" w:eastAsia="Arial" w:hAnsi="Arial"/>
                <w:sz w:val="16"/>
                <w:szCs w:val="16"/>
                <w:color w:val="auto"/>
              </w:rPr>
              <w:t>Item 6.</w:t>
            </w:r>
          </w:p>
        </w:tc>
        <w:tc>
          <w:tcPr>
            <w:tcW w:w="9780" w:type="dxa"/>
            <w:vAlign w:val="bottom"/>
            <w:gridSpan w:val="11"/>
          </w:tcPr>
          <w:p>
            <w:pPr>
              <w:ind w:left="100"/>
              <w:spacing w:after="0" w:line="161" w:lineRule="exact"/>
              <w:rPr>
                <w:sz w:val="20"/>
                <w:szCs w:val="20"/>
                <w:color w:val="auto"/>
              </w:rPr>
            </w:pPr>
            <w:r>
              <w:rPr>
                <w:rFonts w:ascii="Arial" w:cs="Arial" w:eastAsia="Arial" w:hAnsi="Arial"/>
                <w:sz w:val="16"/>
                <w:szCs w:val="16"/>
                <w:color w:val="0000EE"/>
              </w:rPr>
              <w:t>Exhibits</w:t>
            </w:r>
          </w:p>
        </w:tc>
        <w:tc>
          <w:tcPr>
            <w:tcW w:w="660" w:type="dxa"/>
            <w:vAlign w:val="bottom"/>
          </w:tcPr>
          <w:p>
            <w:pPr>
              <w:jc w:val="center"/>
              <w:spacing w:after="0" w:line="161" w:lineRule="exact"/>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0000EE"/>
                <w:w w:val="99"/>
              </w:rPr>
              <w:t>Signatures</w:t>
            </w:r>
          </w:p>
        </w:tc>
        <w:tc>
          <w:tcPr>
            <w:tcW w:w="100" w:type="dxa"/>
            <w:vAlign w:val="bottom"/>
            <w:shd w:val="clear" w:color="auto" w:fill="CCEEFF"/>
          </w:tcPr>
          <w:p>
            <w:pPr>
              <w:spacing w:after="0"/>
              <w:rPr>
                <w:sz w:val="16"/>
                <w:szCs w:val="16"/>
                <w:color w:val="auto"/>
              </w:rPr>
            </w:pPr>
          </w:p>
        </w:tc>
        <w:tc>
          <w:tcPr>
            <w:tcW w:w="540" w:type="dxa"/>
            <w:vAlign w:val="bottom"/>
            <w:tcBorders>
              <w:top w:val="single" w:sz="8" w:color="0000EE"/>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38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gridSpan w:val="4"/>
          </w:tcPr>
          <w:p>
            <w:pPr>
              <w:spacing w:after="0"/>
              <w:rPr>
                <w:sz w:val="20"/>
                <w:szCs w:val="20"/>
                <w:color w:val="auto"/>
              </w:rPr>
            </w:pPr>
            <w:r>
              <w:rPr>
                <w:rFonts w:ascii="Arial" w:cs="Arial" w:eastAsia="Arial" w:hAnsi="Arial"/>
                <w:sz w:val="13"/>
                <w:szCs w:val="13"/>
                <w:i w:val="1"/>
                <w:iCs w:val="1"/>
                <w:color w:val="0000EE"/>
              </w:rPr>
              <w:t>Index</w:t>
            </w:r>
          </w:p>
        </w:tc>
        <w:tc>
          <w:tcPr>
            <w:tcW w:w="18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140" w:type="dxa"/>
            <w:vAlign w:val="bottom"/>
          </w:tcPr>
          <w:p>
            <w:pPr>
              <w:jc w:val="center"/>
              <w:spacing w:after="0"/>
              <w:rPr>
                <w:sz w:val="20"/>
                <w:szCs w:val="20"/>
                <w:color w:val="auto"/>
              </w:rPr>
            </w:pPr>
            <w:r>
              <w:rPr>
                <w:rFonts w:ascii="Arial" w:cs="Arial" w:eastAsia="Arial" w:hAnsi="Arial"/>
                <w:sz w:val="16"/>
                <w:szCs w:val="16"/>
                <w:b w:val="1"/>
                <w:bCs w:val="1"/>
                <w:color w:val="auto"/>
              </w:rPr>
              <w:t>PART I.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20" w:type="dxa"/>
            <w:vAlign w:val="bottom"/>
            <w:gridSpan w:val="4"/>
          </w:tcPr>
          <w:p>
            <w:pPr>
              <w:spacing w:after="0"/>
              <w:rPr>
                <w:sz w:val="20"/>
                <w:szCs w:val="20"/>
                <w:color w:val="auto"/>
              </w:rPr>
            </w:pPr>
            <w:r>
              <w:rPr>
                <w:rFonts w:ascii="Arial" w:cs="Arial" w:eastAsia="Arial" w:hAnsi="Arial"/>
                <w:sz w:val="16"/>
                <w:szCs w:val="16"/>
                <w:b w:val="1"/>
                <w:bCs w:val="1"/>
                <w:color w:val="auto"/>
              </w:rPr>
              <w:t>Item 1.</w:t>
            </w:r>
          </w:p>
        </w:tc>
        <w:tc>
          <w:tcPr>
            <w:tcW w:w="79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Statements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140" w:type="dxa"/>
            <w:vAlign w:val="bottom"/>
          </w:tcPr>
          <w:p>
            <w:pPr>
              <w:jc w:val="center"/>
              <w:spacing w:after="0"/>
              <w:rPr>
                <w:sz w:val="20"/>
                <w:szCs w:val="20"/>
                <w:color w:val="auto"/>
              </w:rPr>
            </w:pPr>
            <w:r>
              <w:rPr>
                <w:rFonts w:ascii="Arial" w:cs="Arial" w:eastAsia="Arial" w:hAnsi="Arial"/>
                <w:sz w:val="16"/>
                <w:szCs w:val="16"/>
                <w:b w:val="1"/>
                <w:bCs w:val="1"/>
                <w:color w:val="auto"/>
                <w:w w:val="92"/>
              </w:rPr>
              <w:t>Donegal Group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Arial" w:cs="Arial" w:eastAsia="Arial" w:hAnsi="Arial"/>
                <w:sz w:val="16"/>
                <w:szCs w:val="16"/>
                <w:b w:val="1"/>
                <w:bCs w:val="1"/>
                <w:color w:val="auto"/>
                <w:w w:val="89"/>
              </w:rPr>
              <w:t>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79"/>
              </w:rPr>
              <w:t>Assets</w:t>
            </w:r>
          </w:p>
        </w:tc>
        <w:tc>
          <w:tcPr>
            <w:tcW w:w="28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8"/>
              <w:spacing w:after="0"/>
              <w:rPr>
                <w:sz w:val="20"/>
                <w:szCs w:val="20"/>
                <w:color w:val="auto"/>
              </w:rPr>
            </w:pPr>
            <w:r>
              <w:rPr>
                <w:rFonts w:ascii="Arial" w:cs="Arial" w:eastAsia="Arial" w:hAnsi="Arial"/>
                <w:sz w:val="16"/>
                <w:szCs w:val="16"/>
                <w:color w:val="auto"/>
                <w:w w:val="93"/>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40" w:type="dxa"/>
            <w:vAlign w:val="bottom"/>
            <w:tcBorders>
              <w:bottom w:val="single" w:sz="8" w:color="auto"/>
            </w:tcBorders>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680" w:type="dxa"/>
            <w:vAlign w:val="bottom"/>
            <w:gridSpan w:val="6"/>
          </w:tcPr>
          <w:p>
            <w:pPr>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Fixed maturities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Held to maturity, at amortized cost (net of allowance for expected credit losses of $1,358,977 and $0)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683,911,746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688,439,360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Available for sale, at fair value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566,539,622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523,791,931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35,463,958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35,104,840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Short-term investments, at cost, which approximates fair value</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20,370,551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57,321,111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5"/>
              </w:rPr>
              <w:t>1,306,285,877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1,304,657,242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Arial" w:cs="Arial" w:eastAsia="Arial" w:hAnsi="Arial"/>
                <w:sz w:val="16"/>
                <w:szCs w:val="16"/>
                <w:color w:val="auto"/>
              </w:rPr>
              <w:t>Cash</w:t>
            </w:r>
          </w:p>
        </w:tc>
        <w:tc>
          <w:tcPr>
            <w:tcW w:w="18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23,718,830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25,123,332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Accrued investment income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10,477,007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8,861,292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spacing w:after="0"/>
              <w:rPr>
                <w:sz w:val="20"/>
                <w:szCs w:val="20"/>
                <w:color w:val="auto"/>
              </w:rPr>
            </w:pPr>
            <w:r>
              <w:rPr>
                <w:rFonts w:ascii="Arial" w:cs="Arial" w:eastAsia="Arial" w:hAnsi="Arial"/>
                <w:sz w:val="16"/>
                <w:szCs w:val="16"/>
                <w:color w:val="auto"/>
              </w:rPr>
              <w:t>Premiums receivable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188,633,601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173,846,294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Reinsurance receivable (net of allowance for expected credit losses of $1,604,771 and $0)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437,888,614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456,522,223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spacing w:after="0"/>
              <w:rPr>
                <w:sz w:val="20"/>
                <w:szCs w:val="20"/>
                <w:color w:val="auto"/>
              </w:rPr>
            </w:pPr>
            <w:r>
              <w:rPr>
                <w:rFonts w:ascii="Arial" w:cs="Arial" w:eastAsia="Arial" w:hAnsi="Arial"/>
                <w:sz w:val="16"/>
                <w:szCs w:val="16"/>
                <w:color w:val="auto"/>
              </w:rPr>
              <w:t>Deferred policy acquisition costs</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77,920,996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73,170,230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tax asset, net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23,790,808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21,603,017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spacing w:after="0"/>
              <w:rPr>
                <w:sz w:val="20"/>
                <w:szCs w:val="20"/>
                <w:color w:val="auto"/>
              </w:rPr>
            </w:pPr>
            <w:r>
              <w:rPr>
                <w:rFonts w:ascii="Arial" w:cs="Arial" w:eastAsia="Arial" w:hAnsi="Arial"/>
                <w:sz w:val="16"/>
                <w:szCs w:val="16"/>
                <w:color w:val="auto"/>
              </w:rPr>
              <w:t>Prepaid reinsurance premiums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173,147,044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160,591,399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2,673,580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spacing w:after="0"/>
              <w:rPr>
                <w:sz w:val="20"/>
                <w:szCs w:val="20"/>
                <w:color w:val="auto"/>
              </w:rPr>
            </w:pPr>
            <w:r>
              <w:rPr>
                <w:rFonts w:ascii="Arial" w:cs="Arial" w:eastAsia="Arial" w:hAnsi="Arial"/>
                <w:sz w:val="16"/>
                <w:szCs w:val="16"/>
                <w:color w:val="auto"/>
              </w:rPr>
              <w:t>Accounts receivable - securities</w:t>
            </w:r>
          </w:p>
        </w:tc>
        <w:tc>
          <w:tcPr>
            <w:tcW w:w="12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Federal income taxes recoverable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7,974,138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8,510,897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18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5,625,354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5,625,354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958,010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958,010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Arial" w:cs="Arial" w:eastAsia="Arial" w:hAnsi="Arial"/>
                <w:sz w:val="16"/>
                <w:szCs w:val="16"/>
                <w:color w:val="auto"/>
              </w:rPr>
              <w:t>Other</w:t>
            </w:r>
          </w:p>
        </w:tc>
        <w:tc>
          <w:tcPr>
            <w:tcW w:w="18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1,183,162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2,260,277,021</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2,243,349,335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60" w:type="dxa"/>
            <w:vAlign w:val="bottom"/>
            <w:gridSpan w:val="5"/>
          </w:tcPr>
          <w:p>
            <w:pPr>
              <w:spacing w:after="0" w:line="150"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2"/>
              </w:rPr>
              <w:t>Liabilities</w:t>
            </w:r>
          </w:p>
        </w:tc>
        <w:tc>
          <w:tcPr>
            <w:tcW w:w="1820" w:type="dxa"/>
            <w:vAlign w:val="bottom"/>
            <w:tcBorders>
              <w:top w:val="single" w:sz="8" w:color="auto"/>
            </w:tcBorders>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Losses and loss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w w:val="95"/>
              </w:rPr>
              <w:t>1,113,354,318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1,121,045,758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Unearned premiums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617,325,983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577,653,130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4,107,224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4,226,390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Reinsurance balances payable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7,454,490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3,495,824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Borrowings under lines of credit</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35,000,000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35,000,000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Cash dividends declared to stockholders</w:t>
            </w: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5,296,990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Due to affiliate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1,189,483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5,173,289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20" w:type="dxa"/>
            <w:vAlign w:val="bottom"/>
            <w:tcBorders>
              <w:bottom w:val="single" w:sz="8" w:color="CCEEFF"/>
            </w:tcBorders>
            <w:shd w:val="clear" w:color="auto" w:fill="CCEEFF"/>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8,505,945</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7,864,942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1,786,937,443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1,759,756,323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Preferred stock, $0.01 par value, authorized 2,000,000 shares; none issued</w:t>
            </w:r>
          </w:p>
        </w:tc>
        <w:tc>
          <w:tcPr>
            <w:tcW w:w="12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9"/>
              </w:rPr>
              <w:t>Class A common stock, $0.01 par value, authorized 50,000,000 shares, issued 30,629,636 and 30,120,263 shares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outstanding 27,627,048 and 27,117,675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301,203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w w:val="95"/>
              </w:rPr>
              <w:t>Class B common stock, $0.01 par value, authorized 10,000,000 shares, issued 5,649,240 shares and outstanding 5,576,775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w w:val="83"/>
              </w:rPr>
              <w:t>shares</w:t>
            </w:r>
          </w:p>
        </w:tc>
        <w:tc>
          <w:tcPr>
            <w:tcW w:w="18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56,492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56,492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333,559,263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325,601,647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(50,295,321)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(41,703,747)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230,939,204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240,563,774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5"/>
          </w:tcPr>
          <w:p>
            <w:pPr>
              <w:ind w:left="120"/>
              <w:spacing w:after="0"/>
              <w:rPr>
                <w:sz w:val="20"/>
                <w:szCs w:val="20"/>
                <w:color w:val="auto"/>
              </w:rPr>
            </w:pPr>
            <w:r>
              <w:rPr>
                <w:rFonts w:ascii="Arial" w:cs="Arial" w:eastAsia="Arial" w:hAnsi="Arial"/>
                <w:sz w:val="16"/>
                <w:szCs w:val="16"/>
                <w:color w:val="auto"/>
              </w:rPr>
              <w:t>Treasury stock, at cost</w:t>
            </w:r>
          </w:p>
        </w:tc>
        <w:tc>
          <w:tcPr>
            <w:tcW w:w="12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(41,226,357)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(41,226,357)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473,339,578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483,593,012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2,260,277,021</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2,243,349,335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826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960" w:type="dxa"/>
            <w:vAlign w:val="bottom"/>
          </w:tcPr>
          <w:p>
            <w:pPr>
              <w:jc w:val="center"/>
              <w:ind w:left="2598"/>
              <w:spacing w:after="0"/>
              <w:rPr>
                <w:sz w:val="20"/>
                <w:szCs w:val="20"/>
                <w:color w:val="auto"/>
              </w:rPr>
            </w:pPr>
            <w:r>
              <w:rPr>
                <w:rFonts w:ascii="Arial" w:cs="Arial" w:eastAsia="Arial" w:hAnsi="Arial"/>
                <w:sz w:val="16"/>
                <w:szCs w:val="16"/>
                <w:b w:val="1"/>
                <w:bCs w:val="1"/>
                <w:color w:val="auto"/>
                <w:w w:val="92"/>
              </w:rPr>
              <w:t>Donegal Group Inc. and Subsidiaries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jc w:val="center"/>
              <w:ind w:left="2598"/>
              <w:spacing w:after="0"/>
              <w:rPr>
                <w:sz w:val="20"/>
                <w:szCs w:val="20"/>
                <w:color w:val="auto"/>
              </w:rPr>
            </w:pPr>
            <w:r>
              <w:rPr>
                <w:rFonts w:ascii="Arial" w:cs="Arial" w:eastAsia="Arial" w:hAnsi="Arial"/>
                <w:sz w:val="16"/>
                <w:szCs w:val="16"/>
                <w:b w:val="1"/>
                <w:bCs w:val="1"/>
                <w:color w:val="auto"/>
                <w:w w:val="89"/>
              </w:rPr>
              <w:t>Consolidated Statements of Loss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60" w:type="dxa"/>
            <w:vAlign w:val="bottom"/>
          </w:tcPr>
          <w:p>
            <w:pPr>
              <w:jc w:val="center"/>
              <w:ind w:left="2598"/>
              <w:spacing w:after="0"/>
              <w:rPr>
                <w:sz w:val="20"/>
                <w:szCs w:val="20"/>
                <w:color w:val="auto"/>
              </w:rPr>
            </w:pPr>
            <w:r>
              <w:rPr>
                <w:rFonts w:ascii="Arial" w:cs="Arial" w:eastAsia="Arial" w:hAnsi="Arial"/>
                <w:sz w:val="16"/>
                <w:szCs w:val="16"/>
                <w:color w:val="auto"/>
                <w:w w:val="95"/>
              </w:rPr>
              <w:t>(Unaudited)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080" w:type="dxa"/>
            <w:vAlign w:val="bottom"/>
            <w:gridSpan w:val="10"/>
          </w:tcPr>
          <w:p>
            <w:pPr>
              <w:ind w:left="360"/>
              <w:spacing w:after="0"/>
              <w:rPr>
                <w:sz w:val="20"/>
                <w:szCs w:val="20"/>
                <w:color w:val="auto"/>
              </w:rPr>
            </w:pPr>
            <w:r>
              <w:rPr>
                <w:rFonts w:ascii="Arial" w:cs="Arial" w:eastAsia="Arial" w:hAnsi="Arial"/>
                <w:sz w:val="16"/>
                <w:szCs w:val="16"/>
                <w:b w:val="1"/>
                <w:bCs w:val="1"/>
                <w:color w:val="auto"/>
                <w:w w:val="99"/>
              </w:rPr>
              <w:t>Three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60" w:type="dxa"/>
            <w:vAlign w:val="bottom"/>
            <w:gridSpan w:val="3"/>
          </w:tcPr>
          <w:p>
            <w:pPr>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premiums earned</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224,392,849</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206,121,826</w:t>
            </w: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Investment income, net of investment expenses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10,536,488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8,568,671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6"/>
              </w:rPr>
              <w:t>Net investment losses (includes ($237,611) and $371,194 accumulated other comprehensive income reclassifications)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(1,242,521)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(2,357,634)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Lease income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85,663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91,679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Installment payment fees</w:t>
            </w: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155,771</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413,706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Total revenues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233,928,250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212,838,248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Net losses and loss expenses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156,683,024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155,754,256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deferred policy acquisition costs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39,332,000</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35,513,000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Other underwriting expenses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37,155,385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33,411,529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Policyholder dividends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1,399,310</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1,239,154</w:t>
            </w: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Interest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156,318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71,430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 expenses, net</w:t>
            </w: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207,127</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Total expenses</w:t>
            </w: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234,933,164</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226,207,452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before income tax benefit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(1,004,914)</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(13,369,204)</w:t>
            </w: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Income tax benefit (includes ($49,898) and $77,951 income tax (benefit) expense from reclassification items)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(199,613)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(2,993,333)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(805,301)</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(10,375,871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Net loss per share:</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Class A common stock - basic and 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Class B common stock - basic and diluted</w:t>
            </w:r>
          </w:p>
        </w:tc>
        <w:tc>
          <w:tcPr>
            <w:tcW w:w="3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60" w:type="dxa"/>
            <w:vAlign w:val="bottom"/>
            <w:vMerge w:val="restart"/>
          </w:tcPr>
          <w:p>
            <w:pPr>
              <w:jc w:val="center"/>
              <w:ind w:left="2598"/>
              <w:spacing w:after="0"/>
              <w:rPr>
                <w:sz w:val="20"/>
                <w:szCs w:val="20"/>
                <w:color w:val="auto"/>
              </w:rPr>
            </w:pPr>
            <w:r>
              <w:rPr>
                <w:rFonts w:ascii="Arial" w:cs="Arial" w:eastAsia="Arial" w:hAnsi="Arial"/>
                <w:sz w:val="16"/>
                <w:szCs w:val="16"/>
                <w:b w:val="1"/>
                <w:bCs w:val="1"/>
                <w:color w:val="auto"/>
                <w:w w:val="92"/>
              </w:rPr>
              <w:t>Donegal Group Inc. and Subsidiaries</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jc w:val="center"/>
              <w:ind w:left="2618"/>
              <w:spacing w:after="0"/>
              <w:rPr>
                <w:sz w:val="20"/>
                <w:szCs w:val="20"/>
                <w:color w:val="auto"/>
              </w:rPr>
            </w:pPr>
            <w:r>
              <w:rPr>
                <w:rFonts w:ascii="Arial" w:cs="Arial" w:eastAsia="Arial" w:hAnsi="Arial"/>
                <w:sz w:val="16"/>
                <w:szCs w:val="16"/>
                <w:b w:val="1"/>
                <w:bCs w:val="1"/>
                <w:color w:val="auto"/>
                <w:w w:val="90"/>
              </w:rPr>
              <w:t>Consolidated Statements of Comprehensive Loss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60" w:type="dxa"/>
            <w:vAlign w:val="bottom"/>
          </w:tcPr>
          <w:p>
            <w:pPr>
              <w:jc w:val="center"/>
              <w:ind w:left="2598"/>
              <w:spacing w:after="0"/>
              <w:rPr>
                <w:sz w:val="20"/>
                <w:szCs w:val="20"/>
                <w:color w:val="auto"/>
              </w:rPr>
            </w:pPr>
            <w:r>
              <w:rPr>
                <w:rFonts w:ascii="Arial" w:cs="Arial" w:eastAsia="Arial" w:hAnsi="Arial"/>
                <w:sz w:val="16"/>
                <w:szCs w:val="16"/>
                <w:color w:val="auto"/>
                <w:w w:val="95"/>
              </w:rPr>
              <w:t>(Unaudited)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8"/>
          </w:tcPr>
          <w:p>
            <w:pPr>
              <w:spacing w:after="0"/>
              <w:rPr>
                <w:sz w:val="20"/>
                <w:szCs w:val="20"/>
                <w:color w:val="auto"/>
              </w:rPr>
            </w:pPr>
            <w:r>
              <w:rPr>
                <w:rFonts w:ascii="Arial" w:cs="Arial" w:eastAsia="Arial" w:hAnsi="Arial"/>
                <w:sz w:val="16"/>
                <w:szCs w:val="16"/>
                <w:b w:val="1"/>
                <w:bCs w:val="1"/>
                <w:color w:val="auto"/>
                <w:w w:val="94"/>
              </w:rPr>
              <w:t>Three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(805,301)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(10,375,871)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Other comprehensive loss, net of tax</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loss on securities: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Unrealized holding loss during the period, net of income tax benefit of $1,992,787 and $4,572,428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(8,085,494)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(17,201,046)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3"/>
              </w:rPr>
              <w:t>Reclassification adjustment for losses (gains) included in net loss, net of income tax (benefit) expense of ($49,898) and $77,951</w:t>
            </w: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187,713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(293,243)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(7,897,781)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(17,494,289)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(8,703,082)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(27,870,160</w:t>
            </w: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340"/>
          </w:cols>
          <w:pgMar w:left="320" w:top="1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860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300" w:type="dxa"/>
            <w:vAlign w:val="bottom"/>
          </w:tcPr>
          <w:p>
            <w:pPr>
              <w:jc w:val="center"/>
              <w:ind w:left="2258"/>
              <w:spacing w:after="0"/>
              <w:rPr>
                <w:sz w:val="20"/>
                <w:szCs w:val="20"/>
                <w:color w:val="auto"/>
              </w:rPr>
            </w:pPr>
            <w:r>
              <w:rPr>
                <w:rFonts w:ascii="Arial" w:cs="Arial" w:eastAsia="Arial" w:hAnsi="Arial"/>
                <w:sz w:val="16"/>
                <w:szCs w:val="16"/>
                <w:b w:val="1"/>
                <w:bCs w:val="1"/>
                <w:color w:val="auto"/>
                <w:w w:val="92"/>
              </w:rPr>
              <w:t>Donegal Group Inc. and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jc w:val="center"/>
              <w:ind w:left="2258"/>
              <w:spacing w:after="0"/>
              <w:rPr>
                <w:sz w:val="20"/>
                <w:szCs w:val="20"/>
                <w:color w:val="auto"/>
              </w:rPr>
            </w:pPr>
            <w:r>
              <w:rPr>
                <w:rFonts w:ascii="Arial" w:cs="Arial" w:eastAsia="Arial" w:hAnsi="Arial"/>
                <w:sz w:val="16"/>
                <w:szCs w:val="16"/>
                <w:b w:val="1"/>
                <w:bCs w:val="1"/>
                <w:color w:val="auto"/>
                <w:w w:val="92"/>
              </w:rPr>
              <w:t>Consolidated Statements of Income (Loss)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00" w:type="dxa"/>
            <w:vAlign w:val="bottom"/>
          </w:tcPr>
          <w:p>
            <w:pPr>
              <w:jc w:val="center"/>
              <w:ind w:left="2258"/>
              <w:spacing w:after="0"/>
              <w:rPr>
                <w:sz w:val="20"/>
                <w:szCs w:val="20"/>
                <w:color w:val="auto"/>
              </w:rPr>
            </w:pPr>
            <w:r>
              <w:rPr>
                <w:rFonts w:ascii="Arial" w:cs="Arial" w:eastAsia="Arial" w:hAnsi="Arial"/>
                <w:sz w:val="16"/>
                <w:szCs w:val="16"/>
                <w:color w:val="auto"/>
                <w:w w:val="95"/>
              </w:rPr>
              <w:t>(Unaudited)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jc w:val="right"/>
              <w:ind w:right="18"/>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00" w:type="dxa"/>
            <w:vAlign w:val="bottom"/>
            <w:gridSpan w:val="3"/>
          </w:tcPr>
          <w:p>
            <w:pPr>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premiums earned</w:t>
            </w:r>
          </w:p>
        </w:tc>
        <w:tc>
          <w:tcPr>
            <w:tcW w:w="2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655,886,046</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609,498,939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Investment income, net of investment expenses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30,143,025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
              <w:spacing w:after="0"/>
              <w:rPr>
                <w:sz w:val="20"/>
                <w:szCs w:val="20"/>
                <w:color w:val="auto"/>
              </w:rPr>
            </w:pPr>
            <w:r>
              <w:rPr>
                <w:rFonts w:ascii="Arial" w:cs="Arial" w:eastAsia="Arial" w:hAnsi="Arial"/>
                <w:sz w:val="16"/>
                <w:szCs w:val="16"/>
                <w:color w:val="auto"/>
              </w:rPr>
              <w:t>24,631,398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3"/>
              </w:rPr>
              <w:t>Net investment gains (losses) (includes ($2,289,648) and $824,409 accumulated other comprehensive income reclassifications)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(10,810,594)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Lease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261,718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
              <w:spacing w:after="0"/>
              <w:rPr>
                <w:sz w:val="20"/>
                <w:szCs w:val="20"/>
                <w:color w:val="auto"/>
              </w:rPr>
            </w:pPr>
            <w:r>
              <w:rPr>
                <w:rFonts w:ascii="Arial" w:cs="Arial" w:eastAsia="Arial" w:hAnsi="Arial"/>
                <w:sz w:val="16"/>
                <w:szCs w:val="16"/>
                <w:color w:val="auto"/>
              </w:rPr>
              <w:t>294,529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Installment payment fees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648,849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1,161,842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Arial" w:cs="Arial" w:eastAsia="Arial" w:hAnsi="Arial"/>
                <w:sz w:val="16"/>
                <w:szCs w:val="16"/>
                <w:color w:val="auto"/>
              </w:rPr>
              <w:t>Total revenues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687,869,940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
              <w:spacing w:after="0"/>
              <w:rPr>
                <w:sz w:val="20"/>
                <w:szCs w:val="20"/>
                <w:color w:val="auto"/>
              </w:rPr>
            </w:pPr>
            <w:r>
              <w:rPr>
                <w:rFonts w:ascii="Arial" w:cs="Arial" w:eastAsia="Arial" w:hAnsi="Arial"/>
                <w:sz w:val="16"/>
                <w:szCs w:val="16"/>
                <w:color w:val="auto"/>
              </w:rPr>
              <w:t>624,776,114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Net losses and loss expenses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446,023,609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415,245,619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deferred policy acquisition costs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115,065,000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104,867,000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Other underwriting expenses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113,715,159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106,753,031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Policyholder dividends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4,088,288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4,176,649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Interest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463,911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
              <w:spacing w:after="0"/>
              <w:rPr>
                <w:sz w:val="20"/>
                <w:szCs w:val="20"/>
                <w:color w:val="auto"/>
              </w:rPr>
            </w:pPr>
            <w:r>
              <w:rPr>
                <w:rFonts w:ascii="Arial" w:cs="Arial" w:eastAsia="Arial" w:hAnsi="Arial"/>
                <w:sz w:val="16"/>
                <w:szCs w:val="16"/>
                <w:color w:val="auto"/>
              </w:rPr>
              <w:t>464,188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expenses, net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968,976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991,671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3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expenses</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680,324,943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632,498,158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before income tax expense (benefit)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7,544,997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(7,722,044)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tcPr>
          <w:p>
            <w:pPr>
              <w:spacing w:after="0"/>
              <w:rPr>
                <w:sz w:val="20"/>
                <w:szCs w:val="20"/>
                <w:color w:val="auto"/>
              </w:rPr>
            </w:pPr>
            <w:r>
              <w:rPr>
                <w:rFonts w:ascii="Arial" w:cs="Arial" w:eastAsia="Arial" w:hAnsi="Arial"/>
                <w:sz w:val="16"/>
                <w:szCs w:val="16"/>
                <w:color w:val="auto"/>
                <w:w w:val="99"/>
              </w:rPr>
              <w:t>Income tax expense (benefit) (includes ($480,826) and $173,126 income tax (benefit) expense from reclassification items)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1,149,279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(2,283,445)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6,395,718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(5,438,599)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580" w:type="dxa"/>
            <w:vAlign w:val="bottom"/>
            <w:gridSpan w:val="2"/>
          </w:tcPr>
          <w:p>
            <w:pPr>
              <w:spacing w:after="0"/>
              <w:rPr>
                <w:sz w:val="20"/>
                <w:szCs w:val="20"/>
                <w:color w:val="auto"/>
              </w:rPr>
            </w:pPr>
            <w:r>
              <w:rPr>
                <w:rFonts w:ascii="Arial" w:cs="Arial" w:eastAsia="Arial" w:hAnsi="Arial"/>
                <w:sz w:val="16"/>
                <w:szCs w:val="16"/>
                <w:color w:val="auto"/>
              </w:rPr>
              <w:t>Net income (loss) per share: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Class A common stock - basic and diluted</w:t>
            </w:r>
          </w:p>
        </w:tc>
        <w:tc>
          <w:tcPr>
            <w:tcW w:w="2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0.20</w:t>
            </w: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Class B common stock - basic and diluted</w:t>
            </w:r>
          </w:p>
        </w:tc>
        <w:tc>
          <w:tcPr>
            <w:tcW w:w="26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0.17</w:t>
            </w:r>
          </w:p>
        </w:tc>
        <w:tc>
          <w:tcPr>
            <w:tcW w:w="26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300" w:type="dxa"/>
            <w:vAlign w:val="bottom"/>
            <w:vMerge w:val="restart"/>
          </w:tcPr>
          <w:p>
            <w:pPr>
              <w:jc w:val="center"/>
              <w:ind w:left="2258"/>
              <w:spacing w:after="0"/>
              <w:rPr>
                <w:sz w:val="20"/>
                <w:szCs w:val="20"/>
                <w:color w:val="auto"/>
              </w:rPr>
            </w:pPr>
            <w:r>
              <w:rPr>
                <w:rFonts w:ascii="Arial" w:cs="Arial" w:eastAsia="Arial" w:hAnsi="Arial"/>
                <w:sz w:val="16"/>
                <w:szCs w:val="16"/>
                <w:b w:val="1"/>
                <w:bCs w:val="1"/>
                <w:color w:val="auto"/>
                <w:w w:val="92"/>
              </w:rPr>
              <w:t>Donegal Group Inc. and Subsidiaries</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jc w:val="center"/>
              <w:ind w:left="2278"/>
              <w:spacing w:after="0"/>
              <w:rPr>
                <w:sz w:val="20"/>
                <w:szCs w:val="20"/>
                <w:color w:val="auto"/>
              </w:rPr>
            </w:pPr>
            <w:r>
              <w:rPr>
                <w:rFonts w:ascii="Arial" w:cs="Arial" w:eastAsia="Arial" w:hAnsi="Arial"/>
                <w:sz w:val="16"/>
                <w:szCs w:val="16"/>
                <w:b w:val="1"/>
                <w:bCs w:val="1"/>
                <w:color w:val="auto"/>
                <w:w w:val="90"/>
              </w:rPr>
              <w:t>Consolidated Statements of Comprehensive Loss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00" w:type="dxa"/>
            <w:vAlign w:val="bottom"/>
          </w:tcPr>
          <w:p>
            <w:pPr>
              <w:jc w:val="center"/>
              <w:ind w:left="2258"/>
              <w:spacing w:after="0"/>
              <w:rPr>
                <w:sz w:val="20"/>
                <w:szCs w:val="20"/>
                <w:color w:val="auto"/>
              </w:rPr>
            </w:pPr>
            <w:r>
              <w:rPr>
                <w:rFonts w:ascii="Arial" w:cs="Arial" w:eastAsia="Arial" w:hAnsi="Arial"/>
                <w:sz w:val="16"/>
                <w:szCs w:val="16"/>
                <w:color w:val="auto"/>
                <w:w w:val="95"/>
              </w:rPr>
              <w:t>(Unaudited)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jc w:val="right"/>
              <w:ind w:right="18"/>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6,395,718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tcPr>
          <w:p>
            <w:pPr>
              <w:spacing w:after="0"/>
              <w:rPr>
                <w:sz w:val="20"/>
                <w:szCs w:val="20"/>
                <w:color w:val="auto"/>
              </w:rPr>
            </w:pPr>
            <w:r>
              <w:rPr>
                <w:rFonts w:ascii="Arial" w:cs="Arial" w:eastAsia="Arial" w:hAnsi="Arial"/>
                <w:sz w:val="16"/>
                <w:szCs w:val="16"/>
                <w:color w:val="auto"/>
              </w:rPr>
              <w:t>Other comprehensive loss, net of tax</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loss on securities: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Arial" w:cs="Arial" w:eastAsia="Arial" w:hAnsi="Arial"/>
                <w:sz w:val="16"/>
                <w:szCs w:val="16"/>
                <w:color w:val="auto"/>
              </w:rPr>
              <w:t>Unrealized holding loss during the period, net of income tax benefit of $3,353,482 and $13,185,692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(13,204,298)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(49,603,320)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adjustment for losses (gains) included in net income (loss), net of income tax (benefit) expense of</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($480,826) and $173,126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1,808,822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(651,283)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8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(11,395,476)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(50,254,603)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(4,999,758)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(55,693,202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222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10"/>
          </w:tcPr>
          <w:p>
            <w:pPr>
              <w:jc w:val="center"/>
              <w:spacing w:after="0"/>
              <w:rPr>
                <w:sz w:val="20"/>
                <w:szCs w:val="20"/>
                <w:color w:val="auto"/>
              </w:rPr>
            </w:pPr>
            <w:r>
              <w:rPr>
                <w:rFonts w:ascii="Arial" w:cs="Arial" w:eastAsia="Arial" w:hAnsi="Arial"/>
                <w:sz w:val="16"/>
                <w:szCs w:val="16"/>
                <w:b w:val="1"/>
                <w:bCs w:val="1"/>
                <w:color w:val="auto"/>
                <w:w w:val="92"/>
              </w:rPr>
              <w:t>Donegal Group Inc. and Subsidiaries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gridSpan w:val="15"/>
          </w:tcPr>
          <w:p>
            <w:pPr>
              <w:jc w:val="center"/>
              <w:spacing w:after="0"/>
              <w:rPr>
                <w:sz w:val="20"/>
                <w:szCs w:val="20"/>
                <w:color w:val="auto"/>
              </w:rPr>
            </w:pPr>
            <w:r>
              <w:rPr>
                <w:rFonts w:ascii="Arial" w:cs="Arial" w:eastAsia="Arial" w:hAnsi="Arial"/>
                <w:sz w:val="16"/>
                <w:szCs w:val="16"/>
                <w:b w:val="1"/>
                <w:bCs w:val="1"/>
                <w:color w:val="auto"/>
                <w:w w:val="92"/>
              </w:rPr>
              <w:t>Consolidated Statement of Stockholders’ Equity</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center"/>
              <w:ind w:right="660"/>
              <w:spacing w:after="0"/>
              <w:rPr>
                <w:sz w:val="20"/>
                <w:szCs w:val="20"/>
                <w:color w:val="auto"/>
              </w:rPr>
            </w:pPr>
            <w:r>
              <w:rPr>
                <w:rFonts w:ascii="Arial" w:cs="Arial" w:eastAsia="Arial" w:hAnsi="Arial"/>
                <w:sz w:val="16"/>
                <w:szCs w:val="16"/>
                <w:color w:val="auto"/>
                <w:w w:val="95"/>
              </w:rPr>
              <w:t>(Unaudited)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0"/>
          </w:tcPr>
          <w:p>
            <w:pPr>
              <w:jc w:val="center"/>
              <w:spacing w:after="0"/>
              <w:rPr>
                <w:sz w:val="20"/>
                <w:szCs w:val="20"/>
                <w:color w:val="auto"/>
              </w:rPr>
            </w:pPr>
            <w:r>
              <w:rPr>
                <w:rFonts w:ascii="Arial" w:cs="Arial" w:eastAsia="Arial" w:hAnsi="Arial"/>
                <w:sz w:val="16"/>
                <w:szCs w:val="16"/>
                <w:b w:val="1"/>
                <w:bCs w:val="1"/>
                <w:color w:val="auto"/>
                <w:w w:val="92"/>
              </w:rPr>
              <w:t>Nine Months Ended September 30, 2023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98"/>
              <w:spacing w:after="0"/>
              <w:rPr>
                <w:sz w:val="20"/>
                <w:szCs w:val="20"/>
                <w:color w:val="auto"/>
              </w:rPr>
            </w:pPr>
            <w:r>
              <w:rPr>
                <w:rFonts w:ascii="Arial" w:cs="Arial" w:eastAsia="Arial" w:hAnsi="Arial"/>
                <w:sz w:val="16"/>
                <w:szCs w:val="16"/>
                <w:color w:val="auto"/>
                <w:w w:val="95"/>
              </w:rPr>
              <w:t>Accumulated</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58"/>
              <w:spacing w:after="0"/>
              <w:rPr>
                <w:sz w:val="20"/>
                <w:szCs w:val="20"/>
                <w:color w:val="auto"/>
              </w:rPr>
            </w:pPr>
            <w:r>
              <w:rPr>
                <w:rFonts w:ascii="Arial" w:cs="Arial" w:eastAsia="Arial" w:hAnsi="Arial"/>
                <w:sz w:val="16"/>
                <w:szCs w:val="16"/>
                <w:color w:val="auto"/>
                <w:w w:val="94"/>
              </w:rPr>
              <w:t>Other</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Class A</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Class B</w:t>
            </w: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Class B</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Paid-In</w:t>
            </w:r>
          </w:p>
        </w:tc>
        <w:tc>
          <w:tcPr>
            <w:tcW w:w="1260" w:type="dxa"/>
            <w:vAlign w:val="bottom"/>
            <w:gridSpan w:val="4"/>
          </w:tcPr>
          <w:p>
            <w:pPr>
              <w:ind w:left="80"/>
              <w:spacing w:after="0"/>
              <w:rPr>
                <w:sz w:val="20"/>
                <w:szCs w:val="20"/>
                <w:color w:val="auto"/>
              </w:rPr>
            </w:pPr>
            <w:r>
              <w:rPr>
                <w:rFonts w:ascii="Arial" w:cs="Arial" w:eastAsia="Arial" w:hAnsi="Arial"/>
                <w:sz w:val="16"/>
                <w:szCs w:val="16"/>
                <w:color w:val="auto"/>
              </w:rPr>
              <w:t>Comprehensive</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Retained</w:t>
            </w:r>
          </w:p>
        </w:tc>
        <w:tc>
          <w:tcPr>
            <w:tcW w:w="1060" w:type="dxa"/>
            <w:vAlign w:val="bottom"/>
            <w:gridSpan w:val="2"/>
          </w:tcPr>
          <w:p>
            <w:pPr>
              <w:jc w:val="right"/>
              <w:ind w:right="238"/>
              <w:spacing w:after="0"/>
              <w:rPr>
                <w:sz w:val="20"/>
                <w:szCs w:val="20"/>
                <w:color w:val="auto"/>
              </w:rPr>
            </w:pPr>
            <w:r>
              <w:rPr>
                <w:rFonts w:ascii="Arial" w:cs="Arial" w:eastAsia="Arial" w:hAnsi="Arial"/>
                <w:sz w:val="16"/>
                <w:szCs w:val="16"/>
                <w:color w:val="auto"/>
              </w:rPr>
              <w:t>Treasury</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5"/>
              </w:rPr>
              <w:t>Stockholders’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Shares</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Shares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Amount</w:t>
            </w:r>
          </w:p>
        </w:tc>
        <w:tc>
          <w:tcPr>
            <w:tcW w:w="80" w:type="dxa"/>
            <w:vAlign w:val="bottom"/>
          </w:tcPr>
          <w:p>
            <w:pPr>
              <w:spacing w:after="0"/>
              <w:rPr>
                <w:sz w:val="18"/>
                <w:szCs w:val="18"/>
                <w:color w:val="auto"/>
              </w:rPr>
            </w:pPr>
          </w:p>
        </w:tc>
        <w:tc>
          <w:tcPr>
            <w:tcW w:w="820" w:type="dxa"/>
            <w:vAlign w:val="bottom"/>
            <w:gridSpan w:val="3"/>
          </w:tcPr>
          <w:p>
            <w:pPr>
              <w:ind w:left="60"/>
              <w:spacing w:after="0"/>
              <w:rPr>
                <w:sz w:val="20"/>
                <w:szCs w:val="20"/>
                <w:color w:val="auto"/>
              </w:rPr>
            </w:pPr>
            <w:r>
              <w:rPr>
                <w:rFonts w:ascii="Arial" w:cs="Arial" w:eastAsia="Arial" w:hAnsi="Arial"/>
                <w:sz w:val="16"/>
                <w:szCs w:val="16"/>
                <w:color w:val="auto"/>
              </w:rPr>
              <w:t>Amount</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58"/>
              <w:spacing w:after="0"/>
              <w:rPr>
                <w:sz w:val="20"/>
                <w:szCs w:val="20"/>
                <w:color w:val="auto"/>
              </w:rPr>
            </w:pPr>
            <w:r>
              <w:rPr>
                <w:rFonts w:ascii="Arial" w:cs="Arial" w:eastAsia="Arial" w:hAnsi="Arial"/>
                <w:sz w:val="16"/>
                <w:szCs w:val="16"/>
                <w:color w:val="auto"/>
                <w:w w:val="88"/>
              </w:rPr>
              <w:t>Loss</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Earnings</w:t>
            </w:r>
          </w:p>
        </w:tc>
        <w:tc>
          <w:tcPr>
            <w:tcW w:w="1060" w:type="dxa"/>
            <w:vAlign w:val="bottom"/>
            <w:gridSpan w:val="2"/>
          </w:tcPr>
          <w:p>
            <w:pPr>
              <w:jc w:val="right"/>
              <w:ind w:right="338"/>
              <w:spacing w:after="0"/>
              <w:rPr>
                <w:sz w:val="20"/>
                <w:szCs w:val="20"/>
                <w:color w:val="auto"/>
              </w:rPr>
            </w:pPr>
            <w:r>
              <w:rPr>
                <w:rFonts w:ascii="Arial" w:cs="Arial" w:eastAsia="Arial" w:hAnsi="Arial"/>
                <w:sz w:val="16"/>
                <w:szCs w:val="16"/>
                <w:color w:val="auto"/>
              </w:rPr>
              <w:t>Stock</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30,120,263</w:t>
            </w: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301,203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56,492</w:t>
            </w:r>
          </w:p>
        </w:tc>
        <w:tc>
          <w:tcPr>
            <w:tcW w:w="1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$ 325,601,647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(41,703,747)</w:t>
            </w: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$ 240,563,774</w:t>
            </w: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 (41,226,357)</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$ 483,593,012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color w:val="auto"/>
              </w:rPr>
              <w:t>(stock compensation plans)</w:t>
            </w:r>
          </w:p>
        </w:tc>
        <w:tc>
          <w:tcPr>
            <w:tcW w:w="820" w:type="dxa"/>
            <w:vAlign w:val="bottom"/>
          </w:tcPr>
          <w:p>
            <w:pPr>
              <w:jc w:val="right"/>
              <w:spacing w:after="0"/>
              <w:rPr>
                <w:sz w:val="20"/>
                <w:szCs w:val="20"/>
                <w:color w:val="auto"/>
              </w:rPr>
            </w:pPr>
            <w:r>
              <w:rPr>
                <w:rFonts w:ascii="Arial" w:cs="Arial" w:eastAsia="Arial" w:hAnsi="Arial"/>
                <w:sz w:val="16"/>
                <w:szCs w:val="16"/>
                <w:color w:val="auto"/>
              </w:rPr>
              <w:t>35,045</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440,746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441,096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2,218,355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2,219,786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5,203,596</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5,203,596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declared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(7,057)</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Grant of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114,724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(114,724)</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Cumulative effect of adoption of</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updated guidance for credit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losses at January 1, 2023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(1,895,902)</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(1,895,902)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4,007,638</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4,007,638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March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30,298,312</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302,984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56,492</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$ 328,375,472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(37,696,109</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$ 243,749,687</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(41,226,357</w:t>
            </w:r>
          </w:p>
        </w:tc>
        <w:tc>
          <w:tcPr>
            <w:tcW w:w="160" w:type="dxa"/>
            <w:vAlign w:val="bottom"/>
            <w:tcBorders>
              <w:bottom w:val="single" w:sz="8" w:color="CCEEFF"/>
              <w:right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$ 493,562,169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color w:val="auto"/>
              </w:rPr>
              <w:t>(stock compensation plans)</w:t>
            </w:r>
          </w:p>
        </w:tc>
        <w:tc>
          <w:tcPr>
            <w:tcW w:w="820" w:type="dxa"/>
            <w:vAlign w:val="bottom"/>
          </w:tcPr>
          <w:p>
            <w:pPr>
              <w:jc w:val="right"/>
              <w:spacing w:after="0"/>
              <w:rPr>
                <w:sz w:val="20"/>
                <w:szCs w:val="20"/>
                <w:color w:val="auto"/>
              </w:rPr>
            </w:pPr>
            <w:r>
              <w:rPr>
                <w:rFonts w:ascii="Arial" w:cs="Arial" w:eastAsia="Arial" w:hAnsi="Arial"/>
                <w:sz w:val="16"/>
                <w:szCs w:val="16"/>
                <w:color w:val="auto"/>
              </w:rPr>
              <w:t>44,664</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668,933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669,380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195,893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2,966,842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2,968,800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1,997,423</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1,997,423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declared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(5,498,873)</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(5,498,873)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Grant of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61,749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(61,749)</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(7,505,333)</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(7,505,333)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Balance, June 30, 2023</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30,538,869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305,389</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56,492</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$ 332,072,996</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w w:val="96"/>
              </w:rPr>
              <w:t>(45,201,442)</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$ 240,186,488</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w w:val="90"/>
              </w:rPr>
              <w:t>$ (41,226,357)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$ 486,193,566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354,337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354,626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tcPr>
          <w:p>
            <w:pPr>
              <w:jc w:val="right"/>
              <w:spacing w:after="0"/>
              <w:rPr>
                <w:sz w:val="20"/>
                <w:szCs w:val="20"/>
                <w:color w:val="auto"/>
              </w:rPr>
            </w:pPr>
            <w:r>
              <w:rPr>
                <w:rFonts w:ascii="Arial" w:cs="Arial" w:eastAsia="Arial" w:hAnsi="Arial"/>
                <w:sz w:val="16"/>
                <w:szCs w:val="16"/>
                <w:color w:val="auto"/>
              </w:rPr>
              <w:t>61,855</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1,030,458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1,031,077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(805,301)</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(805,301)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Cash dividends declared</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(5,536,609)</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(5,536,609)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of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101,472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(101,472)</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Reclassification of held to</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color w:val="auto"/>
              </w:rPr>
              <w:t>maturity transfer</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6"/>
                <w:szCs w:val="16"/>
                <w:color w:val="auto"/>
              </w:rPr>
              <w:t>2,803,902</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(2,803,902)</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(7,897,781)</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(7,897,781)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Balance, September 30, 2023</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30,629,636</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306,297</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56,492</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$ 333,559,263</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w w:val="96"/>
              </w:rPr>
              <w:t>(50,295,321)</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$ 230,939,204</w:t>
            </w: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w w:val="90"/>
              </w:rPr>
              <w:t>$ (41,226,357)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$ 473,339,578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00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10"/>
          </w:tcPr>
          <w:p>
            <w:pPr>
              <w:jc w:val="center"/>
              <w:ind w:left="98"/>
              <w:spacing w:after="0"/>
              <w:rPr>
                <w:sz w:val="20"/>
                <w:szCs w:val="20"/>
                <w:color w:val="auto"/>
              </w:rPr>
            </w:pPr>
            <w:r>
              <w:rPr>
                <w:rFonts w:ascii="Arial" w:cs="Arial" w:eastAsia="Arial" w:hAnsi="Arial"/>
                <w:sz w:val="16"/>
                <w:szCs w:val="16"/>
                <w:b w:val="1"/>
                <w:bCs w:val="1"/>
                <w:color w:val="auto"/>
                <w:w w:val="92"/>
              </w:rPr>
              <w:t>Donegal Group Inc. and Subsidiaries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gridSpan w:val="13"/>
          </w:tcPr>
          <w:p>
            <w:pPr>
              <w:jc w:val="center"/>
              <w:ind w:right="659"/>
              <w:spacing w:after="0"/>
              <w:rPr>
                <w:sz w:val="20"/>
                <w:szCs w:val="20"/>
                <w:color w:val="auto"/>
              </w:rPr>
            </w:pPr>
            <w:r>
              <w:rPr>
                <w:rFonts w:ascii="Arial" w:cs="Arial" w:eastAsia="Arial" w:hAnsi="Arial"/>
                <w:sz w:val="16"/>
                <w:szCs w:val="16"/>
                <w:b w:val="1"/>
                <w:bCs w:val="1"/>
                <w:color w:val="auto"/>
                <w:w w:val="92"/>
              </w:rPr>
              <w:t>Consolidated Statement of Stockholders’ Equity</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center"/>
              <w:ind w:right="520"/>
              <w:spacing w:after="0"/>
              <w:rPr>
                <w:sz w:val="20"/>
                <w:szCs w:val="20"/>
                <w:color w:val="auto"/>
              </w:rPr>
            </w:pPr>
            <w:r>
              <w:rPr>
                <w:rFonts w:ascii="Arial" w:cs="Arial" w:eastAsia="Arial" w:hAnsi="Arial"/>
                <w:sz w:val="16"/>
                <w:szCs w:val="16"/>
                <w:color w:val="auto"/>
                <w:w w:val="95"/>
              </w:rPr>
              <w:t>(Unaudited)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10"/>
          </w:tcPr>
          <w:p>
            <w:pPr>
              <w:jc w:val="center"/>
              <w:ind w:left="118"/>
              <w:spacing w:after="0"/>
              <w:rPr>
                <w:sz w:val="20"/>
                <w:szCs w:val="20"/>
                <w:color w:val="auto"/>
              </w:rPr>
            </w:pPr>
            <w:r>
              <w:rPr>
                <w:rFonts w:ascii="Arial" w:cs="Arial" w:eastAsia="Arial" w:hAnsi="Arial"/>
                <w:sz w:val="16"/>
                <w:szCs w:val="16"/>
                <w:b w:val="1"/>
                <w:bCs w:val="1"/>
                <w:color w:val="auto"/>
                <w:w w:val="92"/>
              </w:rPr>
              <w:t>Nine Months Ended September 30, 2022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119"/>
              <w:spacing w:after="0"/>
              <w:rPr>
                <w:sz w:val="20"/>
                <w:szCs w:val="20"/>
                <w:color w:val="auto"/>
              </w:rPr>
            </w:pPr>
            <w:r>
              <w:rPr>
                <w:rFonts w:ascii="Arial" w:cs="Arial" w:eastAsia="Arial" w:hAnsi="Arial"/>
                <w:sz w:val="16"/>
                <w:szCs w:val="16"/>
                <w:color w:val="auto"/>
                <w:w w:val="95"/>
              </w:rPr>
              <w:t>Accumulated</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19"/>
              <w:spacing w:after="0"/>
              <w:rPr>
                <w:sz w:val="20"/>
                <w:szCs w:val="20"/>
                <w:color w:val="auto"/>
              </w:rPr>
            </w:pPr>
            <w:r>
              <w:rPr>
                <w:rFonts w:ascii="Arial" w:cs="Arial" w:eastAsia="Arial" w:hAnsi="Arial"/>
                <w:sz w:val="16"/>
                <w:szCs w:val="16"/>
                <w:color w:val="auto"/>
                <w:w w:val="89"/>
              </w:rPr>
              <w:t>Other</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auto"/>
              </w:rPr>
              <w:t>Comprehensive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Class A</w:t>
            </w: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Class A</w:t>
            </w:r>
          </w:p>
        </w:tc>
        <w:tc>
          <w:tcPr>
            <w:tcW w:w="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Class B</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Additional</w:t>
            </w:r>
          </w:p>
        </w:tc>
        <w:tc>
          <w:tcPr>
            <w:tcW w:w="200" w:type="dxa"/>
            <w:vAlign w:val="bottom"/>
          </w:tcPr>
          <w:p>
            <w:pPr>
              <w:spacing w:after="0"/>
              <w:rPr>
                <w:sz w:val="17"/>
                <w:szCs w:val="17"/>
                <w:color w:val="auto"/>
              </w:rPr>
            </w:pPr>
          </w:p>
        </w:tc>
        <w:tc>
          <w:tcPr>
            <w:tcW w:w="1000" w:type="dxa"/>
            <w:vAlign w:val="bottom"/>
            <w:gridSpan w:val="2"/>
          </w:tcPr>
          <w:p>
            <w:pPr>
              <w:jc w:val="center"/>
              <w:ind w:right="319"/>
              <w:spacing w:after="0"/>
              <w:rPr>
                <w:sz w:val="20"/>
                <w:szCs w:val="20"/>
                <w:color w:val="auto"/>
              </w:rPr>
            </w:pPr>
            <w:r>
              <w:rPr>
                <w:rFonts w:ascii="Arial" w:cs="Arial" w:eastAsia="Arial" w:hAnsi="Arial"/>
                <w:sz w:val="16"/>
                <w:szCs w:val="16"/>
                <w:color w:val="auto"/>
                <w:w w:val="91"/>
              </w:rPr>
              <w:t>Income</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Retained</w:t>
            </w:r>
          </w:p>
        </w:tc>
        <w:tc>
          <w:tcPr>
            <w:tcW w:w="1060" w:type="dxa"/>
            <w:vAlign w:val="bottom"/>
            <w:gridSpan w:val="2"/>
          </w:tcPr>
          <w:p>
            <w:pPr>
              <w:jc w:val="right"/>
              <w:ind w:right="279"/>
              <w:spacing w:after="0"/>
              <w:rPr>
                <w:sz w:val="20"/>
                <w:szCs w:val="20"/>
                <w:color w:val="auto"/>
              </w:rPr>
            </w:pPr>
            <w:r>
              <w:rPr>
                <w:rFonts w:ascii="Arial" w:cs="Arial" w:eastAsia="Arial" w:hAnsi="Arial"/>
                <w:sz w:val="16"/>
                <w:szCs w:val="16"/>
                <w:color w:val="auto"/>
              </w:rPr>
              <w:t>Treasury</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5"/>
              </w:rPr>
              <w:t>Stockholders’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Shares</w:t>
            </w:r>
          </w:p>
        </w:tc>
        <w:tc>
          <w:tcPr>
            <w:tcW w:w="780" w:type="dxa"/>
            <w:vAlign w:val="bottom"/>
          </w:tcPr>
          <w:p>
            <w:pPr>
              <w:jc w:val="right"/>
              <w:ind w:right="98"/>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Amount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Amount</w:t>
            </w:r>
          </w:p>
        </w:tc>
        <w:tc>
          <w:tcPr>
            <w:tcW w:w="1240" w:type="dxa"/>
            <w:vAlign w:val="bottom"/>
            <w:gridSpan w:val="4"/>
          </w:tcPr>
          <w:p>
            <w:pPr>
              <w:ind w:left="80"/>
              <w:spacing w:after="0"/>
              <w:rPr>
                <w:sz w:val="20"/>
                <w:szCs w:val="20"/>
                <w:color w:val="auto"/>
              </w:rPr>
            </w:pPr>
            <w:r>
              <w:rPr>
                <w:rFonts w:ascii="Arial" w:cs="Arial" w:eastAsia="Arial" w:hAnsi="Arial"/>
                <w:sz w:val="16"/>
                <w:szCs w:val="16"/>
                <w:color w:val="auto"/>
              </w:rPr>
              <w:t>Paid-In Capital</w:t>
            </w:r>
          </w:p>
        </w:tc>
        <w:tc>
          <w:tcPr>
            <w:tcW w:w="200" w:type="dxa"/>
            <w:vAlign w:val="bottom"/>
          </w:tcPr>
          <w:p>
            <w:pPr>
              <w:spacing w:after="0"/>
              <w:rPr>
                <w:sz w:val="18"/>
                <w:szCs w:val="18"/>
                <w:color w:val="auto"/>
              </w:rPr>
            </w:pPr>
          </w:p>
        </w:tc>
        <w:tc>
          <w:tcPr>
            <w:tcW w:w="1000" w:type="dxa"/>
            <w:vAlign w:val="bottom"/>
            <w:gridSpan w:val="2"/>
          </w:tcPr>
          <w:p>
            <w:pPr>
              <w:jc w:val="center"/>
              <w:ind w:right="299"/>
              <w:spacing w:after="0"/>
              <w:rPr>
                <w:sz w:val="20"/>
                <w:szCs w:val="20"/>
                <w:color w:val="auto"/>
              </w:rPr>
            </w:pPr>
            <w:r>
              <w:rPr>
                <w:rFonts w:ascii="Arial" w:cs="Arial" w:eastAsia="Arial" w:hAnsi="Arial"/>
                <w:sz w:val="16"/>
                <w:szCs w:val="16"/>
                <w:color w:val="auto"/>
                <w:w w:val="94"/>
              </w:rPr>
              <w:t>(Loss)</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Earnings</w:t>
            </w:r>
          </w:p>
        </w:tc>
        <w:tc>
          <w:tcPr>
            <w:tcW w:w="1060" w:type="dxa"/>
            <w:vAlign w:val="bottom"/>
            <w:gridSpan w:val="2"/>
          </w:tcPr>
          <w:p>
            <w:pPr>
              <w:jc w:val="right"/>
              <w:ind w:right="399"/>
              <w:spacing w:after="0"/>
              <w:rPr>
                <w:sz w:val="20"/>
                <w:szCs w:val="20"/>
                <w:color w:val="auto"/>
              </w:rPr>
            </w:pPr>
            <w:r>
              <w:rPr>
                <w:rFonts w:ascii="Arial" w:cs="Arial" w:eastAsia="Arial" w:hAnsi="Arial"/>
                <w:sz w:val="16"/>
                <w:szCs w:val="16"/>
                <w:color w:val="auto"/>
              </w:rPr>
              <w:t>Stock</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Balance,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shd w:val="clear" w:color="auto" w:fill="CCEEFF"/>
              </w:rPr>
              <w:t>28,756,203</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5,649,240</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287,562</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56,492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shd w:val="clear" w:color="auto" w:fill="CCEEFF"/>
              </w:rPr>
              <w:t>304,889,481</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3,283,551</w:t>
            </w: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$ 263,745,358</w:t>
            </w: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shd w:val="clear" w:color="auto" w:fill="CCEEFF"/>
              </w:rPr>
              <w:t>$ (41,226,357)</w:t>
            </w: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$ 531,036,087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w w:val="94"/>
              </w:rPr>
              <w:t>(stock compensation plans)</w:t>
            </w:r>
          </w:p>
        </w:tc>
        <w:tc>
          <w:tcPr>
            <w:tcW w:w="820" w:type="dxa"/>
            <w:vAlign w:val="bottom"/>
          </w:tcPr>
          <w:p>
            <w:pPr>
              <w:jc w:val="right"/>
              <w:spacing w:after="0"/>
              <w:rPr>
                <w:sz w:val="20"/>
                <w:szCs w:val="20"/>
                <w:color w:val="auto"/>
              </w:rPr>
            </w:pPr>
            <w:r>
              <w:rPr>
                <w:rFonts w:ascii="Arial" w:cs="Arial" w:eastAsia="Arial" w:hAnsi="Arial"/>
                <w:sz w:val="16"/>
                <w:szCs w:val="16"/>
                <w:color w:val="auto"/>
              </w:rPr>
              <w:t>33,407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423,665</w:t>
            </w:r>
          </w:p>
        </w:tc>
        <w:tc>
          <w:tcPr>
            <w:tcW w:w="2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424,000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256,451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256,460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13,145,029</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13,145,029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declared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(5,490)</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Grant of stock options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98,409</w:t>
            </w:r>
          </w:p>
        </w:tc>
        <w:tc>
          <w:tcPr>
            <w:tcW w:w="2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(98,409)</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94"/>
              </w:rPr>
              <w:t>(20,590,225)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(20,590,225)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Balance, March 31, 2022</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28,790,510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287,906</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56,492</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305,668,006</w:t>
            </w:r>
          </w:p>
        </w:tc>
        <w:tc>
          <w:tcPr>
            <w:tcW w:w="16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w w:val="94"/>
              </w:rPr>
              <w:t>(17,306,674)</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$ 276,786,488</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w w:val="88"/>
              </w:rPr>
              <w:t>$ (41,226,357)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$ 524,265,861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4"/>
              </w:rPr>
              <w:t>(stock compensation plans)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736,349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736,896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tcPr>
          <w:p>
            <w:pPr>
              <w:jc w:val="right"/>
              <w:spacing w:after="0"/>
              <w:rPr>
                <w:sz w:val="20"/>
                <w:szCs w:val="20"/>
                <w:color w:val="auto"/>
              </w:rPr>
            </w:pPr>
            <w:r>
              <w:rPr>
                <w:rFonts w:ascii="Arial" w:cs="Arial" w:eastAsia="Arial" w:hAnsi="Arial"/>
                <w:sz w:val="16"/>
                <w:szCs w:val="16"/>
                <w:color w:val="auto"/>
              </w:rPr>
              <w:t>775,898</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7,759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11,476,429</w:t>
            </w:r>
          </w:p>
        </w:tc>
        <w:tc>
          <w:tcPr>
            <w:tcW w:w="2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11,484,188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(8,207,757)</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(8,207,757)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Cash dividends declared</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(5,086,617)</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(5,086,617)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of stock options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59,216</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(59,216)</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w w:val="94"/>
              </w:rPr>
              <w:t>(12,170,089)</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(12,170,089)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29,621,151</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296,212</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317,940,000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(29,476,763</w:t>
            </w:r>
          </w:p>
        </w:tc>
        <w:tc>
          <w:tcPr>
            <w:tcW w:w="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$ 263,432,898</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(41,226,357</w:t>
            </w:r>
          </w:p>
        </w:tc>
        <w:tc>
          <w:tcPr>
            <w:tcW w:w="1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$ 511,022,482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w w:val="94"/>
              </w:rPr>
              <w:t>(stock compensation plans)</w:t>
            </w:r>
          </w:p>
        </w:tc>
        <w:tc>
          <w:tcPr>
            <w:tcW w:w="820" w:type="dxa"/>
            <w:vAlign w:val="bottom"/>
          </w:tcPr>
          <w:p>
            <w:pPr>
              <w:jc w:val="right"/>
              <w:spacing w:after="0"/>
              <w:rPr>
                <w:sz w:val="20"/>
                <w:szCs w:val="20"/>
                <w:color w:val="auto"/>
              </w:rPr>
            </w:pPr>
            <w:r>
              <w:rPr>
                <w:rFonts w:ascii="Arial" w:cs="Arial" w:eastAsia="Arial" w:hAnsi="Arial"/>
                <w:sz w:val="16"/>
                <w:szCs w:val="16"/>
                <w:color w:val="auto"/>
              </w:rPr>
              <w:t>23,454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270,887</w:t>
            </w:r>
          </w:p>
        </w:tc>
        <w:tc>
          <w:tcPr>
            <w:tcW w:w="2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271,122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195,322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3,013,995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3,015,948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(10,375,871)</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(10,375,871)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declared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(5,235,993)</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(5,235,993)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Grant of stock options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138,907</w:t>
            </w:r>
          </w:p>
        </w:tc>
        <w:tc>
          <w:tcPr>
            <w:tcW w:w="2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(138,907)</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94"/>
              </w:rPr>
              <w:t>(17,494,289)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(17,494,289)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w w:val="92"/>
              </w:rPr>
              <w:t>Balance, September 30, 2022</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29,839,927</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5,649,240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298,400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56,492</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321,363,789</w:t>
            </w:r>
          </w:p>
        </w:tc>
        <w:tc>
          <w:tcPr>
            <w:tcW w:w="16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w w:val="94"/>
              </w:rPr>
              <w:t>(46,971,052)</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$ 247,682,127</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w w:val="88"/>
              </w:rPr>
              <w:t>$ (41,226,357)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$ 481,203,399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868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380" w:type="dxa"/>
            <w:vAlign w:val="bottom"/>
          </w:tcPr>
          <w:p>
            <w:pPr>
              <w:jc w:val="center"/>
              <w:ind w:left="2178"/>
              <w:spacing w:after="0"/>
              <w:rPr>
                <w:sz w:val="20"/>
                <w:szCs w:val="20"/>
                <w:color w:val="auto"/>
              </w:rPr>
            </w:pPr>
            <w:r>
              <w:rPr>
                <w:rFonts w:ascii="Arial" w:cs="Arial" w:eastAsia="Arial" w:hAnsi="Arial"/>
                <w:sz w:val="16"/>
                <w:szCs w:val="16"/>
                <w:b w:val="1"/>
                <w:bCs w:val="1"/>
                <w:color w:val="auto"/>
                <w:w w:val="92"/>
              </w:rPr>
              <w:t>Donegal Group Inc.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jc w:val="center"/>
              <w:ind w:left="2178"/>
              <w:spacing w:after="0"/>
              <w:rPr>
                <w:sz w:val="20"/>
                <w:szCs w:val="20"/>
                <w:color w:val="auto"/>
              </w:rPr>
            </w:pPr>
            <w:r>
              <w:rPr>
                <w:rFonts w:ascii="Arial" w:cs="Arial" w:eastAsia="Arial" w:hAnsi="Arial"/>
                <w:sz w:val="16"/>
                <w:szCs w:val="16"/>
                <w:b w:val="1"/>
                <w:bCs w:val="1"/>
                <w:color w:val="auto"/>
                <w:w w:val="90"/>
              </w:rPr>
              <w:t>Consolidated Statements of Cash Flows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80" w:type="dxa"/>
            <w:vAlign w:val="bottom"/>
          </w:tcPr>
          <w:p>
            <w:pPr>
              <w:jc w:val="center"/>
              <w:ind w:left="2178"/>
              <w:spacing w:after="0"/>
              <w:rPr>
                <w:sz w:val="20"/>
                <w:szCs w:val="20"/>
                <w:color w:val="auto"/>
              </w:rPr>
            </w:pPr>
            <w:r>
              <w:rPr>
                <w:rFonts w:ascii="Arial" w:cs="Arial" w:eastAsia="Arial" w:hAnsi="Arial"/>
                <w:sz w:val="16"/>
                <w:szCs w:val="16"/>
                <w:color w:val="auto"/>
                <w:w w:val="95"/>
              </w:rPr>
              <w:t>(Unaudited)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560" w:type="dxa"/>
            <w:vAlign w:val="bottom"/>
            <w:gridSpan w:val="8"/>
          </w:tcPr>
          <w:p>
            <w:pPr>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6,395,718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(5,438,599)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other non-cash items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3,215,399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(930,302)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10,810,594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Losses and loss expenses</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(7,691,440)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30,505,293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Unearned premiums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39,672,853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22,394,901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Premiums receivable</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(14,787,307)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(12,881,975)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Deferred acquisition costs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(4,750,766)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(6,355,269)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(2,645,695)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Reinsurance receivable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17,501,773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Prepaid reinsurance premiums</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(12,555,645)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11,222,717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Accrued investment income</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(1,615,715)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(1,608,978)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Due to affiliate</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(3,983,806)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(1,342,121)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Reinsurance balances payable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3,958,666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Current income taxes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536,759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(4,150,265)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(119,166)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580,936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1,811,243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adjustments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19,632,258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55,338,144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26,027,976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49,899,545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Purchases of fixed maturities, held to maturity</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(25,226,609)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(68,902,605)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Purchases of fixed maturities, available for sale</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8"/>
              </w:rPr>
              <w:t>(131,155,483)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(101,328,478)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Purchases of equity securities, available for sale</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(5,128,994)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(12,488,733)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Maturity of fixed maturities: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ind w:left="140"/>
              <w:spacing w:after="0"/>
              <w:rPr>
                <w:sz w:val="20"/>
                <w:szCs w:val="20"/>
                <w:color w:val="auto"/>
              </w:rPr>
            </w:pPr>
            <w:r>
              <w:rPr>
                <w:rFonts w:ascii="Arial" w:cs="Arial" w:eastAsia="Arial" w:hAnsi="Arial"/>
                <w:sz w:val="16"/>
                <w:szCs w:val="16"/>
                <w:color w:val="auto"/>
              </w:rPr>
              <w:t>Held to maturity</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29,144,970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41,194,285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 for sale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41,318,216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60,346,490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Sales of fixed maturities: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 for sale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28,154,556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Sales of equity securities, available for sale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8,080,764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17,498,036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Net (purchases) sales of property and equipment</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(44,701)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Net sales (purchases) of short-term investments</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36,950,560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(23,968,454)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(17,906,721)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(81,053,016)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dividends paid</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(16,339,529)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(15,243,368)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Arial" w:cs="Arial" w:eastAsia="Arial" w:hAnsi="Arial"/>
                <w:sz w:val="16"/>
                <w:szCs w:val="16"/>
                <w:color w:val="auto"/>
              </w:rPr>
              <w:t>Issuance of common stock</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6,813,772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15,348,793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(9,525,757)</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Net decrease in cash</w:t>
            </w:r>
          </w:p>
        </w:tc>
        <w:tc>
          <w:tcPr>
            <w:tcW w:w="16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(1,404,502)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(31,048,046)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at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25,123,332</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57,709,375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Cash at end of period</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23,718,830</w:t>
            </w:r>
          </w:p>
        </w:tc>
        <w:tc>
          <w:tcPr>
            <w:tcW w:w="1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26,661,329</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restart"/>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spacing w:after="0"/>
              <w:rPr>
                <w:sz w:val="10"/>
                <w:szCs w:val="10"/>
                <w:color w:val="auto"/>
              </w:rPr>
            </w:pPr>
          </w:p>
        </w:tc>
        <w:tc>
          <w:tcPr>
            <w:tcW w:w="10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Cash paid during period - Interest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463,911</w:t>
            </w:r>
          </w:p>
        </w:tc>
        <w:tc>
          <w:tcPr>
            <w:tcW w:w="1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464,188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paid during period - Taxes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DONEGAL GROUP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1 -</w:t>
      </w:r>
      <w:r>
        <w:rPr>
          <w:sz w:val="20"/>
          <w:szCs w:val="20"/>
          <w:color w:val="auto"/>
        </w:rPr>
        <w:tab/>
      </w:r>
      <w:r>
        <w:rPr>
          <w:rFonts w:ascii="Arial" w:cs="Arial" w:eastAsia="Arial" w:hAnsi="Arial"/>
          <w:sz w:val="15"/>
          <w:szCs w:val="15"/>
          <w:b w:val="1"/>
          <w:bCs w:val="1"/>
          <w:color w:val="auto"/>
        </w:rPr>
        <w:t>Organization</w:t>
      </w:r>
    </w:p>
    <w:p>
      <w:pPr>
        <w:spacing w:after="0" w:line="215" w:lineRule="exact"/>
        <w:rPr>
          <w:sz w:val="20"/>
          <w:szCs w:val="20"/>
          <w:color w:val="auto"/>
        </w:rPr>
      </w:pPr>
    </w:p>
    <w:p>
      <w:pPr>
        <w:ind w:right="40" w:firstLine="403"/>
        <w:spacing w:after="0" w:line="265" w:lineRule="auto"/>
        <w:rPr>
          <w:sz w:val="20"/>
          <w:szCs w:val="20"/>
          <w:color w:val="auto"/>
        </w:rPr>
      </w:pPr>
      <w:r>
        <w:rPr>
          <w:rFonts w:ascii="Arial" w:cs="Arial" w:eastAsia="Arial" w:hAnsi="Arial"/>
          <w:sz w:val="16"/>
          <w:szCs w:val="16"/>
          <w:color w:val="auto"/>
        </w:rPr>
        <w:t>Donegal Mutual Insurance Company (“Donegal Mutual”) organized us as an insurance holding company on August 26, 1986. Our insurance subsidiaries, Atlantic States Insurance Company (“Atlantic States”), Michigan Insurance Company (“MICO”), Southern Insurance Company of Virginia (“Southern”) and the Peninsula Insurance Group (“Peninsula”), which consists of Peninsula Indemnity Company and The Peninsula Insurance Company, and our affiliates write personal and commercial lines of property and casualty coverages exclusively through a network of independent insurance agents in certain Mid-Atlantic, Midwestern, New England, Southern and Southwestern states.</w:t>
      </w:r>
    </w:p>
    <w:p>
      <w:pPr>
        <w:spacing w:after="0" w:line="169" w:lineRule="exact"/>
        <w:rPr>
          <w:sz w:val="20"/>
          <w:szCs w:val="20"/>
          <w:color w:val="auto"/>
        </w:rPr>
      </w:pPr>
    </w:p>
    <w:p>
      <w:pPr>
        <w:jc w:val="both"/>
        <w:ind w:right="160" w:firstLine="444"/>
        <w:spacing w:after="0" w:line="273" w:lineRule="auto"/>
        <w:rPr>
          <w:sz w:val="20"/>
          <w:szCs w:val="20"/>
          <w:color w:val="auto"/>
        </w:rPr>
      </w:pPr>
      <w:r>
        <w:rPr>
          <w:rFonts w:ascii="Arial" w:cs="Arial" w:eastAsia="Arial" w:hAnsi="Arial"/>
          <w:sz w:val="16"/>
          <w:szCs w:val="16"/>
          <w:color w:val="auto"/>
        </w:rPr>
        <w:t>At September 30, 2023,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62" w:lineRule="exact"/>
        <w:rPr>
          <w:sz w:val="20"/>
          <w:szCs w:val="20"/>
          <w:color w:val="auto"/>
        </w:rPr>
      </w:pPr>
    </w:p>
    <w:p>
      <w:pPr>
        <w:ind w:right="40" w:firstLine="403"/>
        <w:spacing w:after="0" w:line="263" w:lineRule="auto"/>
        <w:rPr>
          <w:sz w:val="20"/>
          <w:szCs w:val="20"/>
          <w:color w:val="auto"/>
        </w:rPr>
      </w:pPr>
      <w:r>
        <w:rPr>
          <w:rFonts w:ascii="Arial" w:cs="Arial" w:eastAsia="Arial" w:hAnsi="Arial"/>
          <w:sz w:val="16"/>
          <w:szCs w:val="16"/>
          <w:color w:val="auto"/>
        </w:rPr>
        <w:t>At September 30, 2023, Donegal Mutual held approximately 44% of our outstanding Class A common stock and approximately 84%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72" w:lineRule="exact"/>
        <w:rPr>
          <w:sz w:val="20"/>
          <w:szCs w:val="20"/>
          <w:color w:val="auto"/>
        </w:rPr>
      </w:pPr>
    </w:p>
    <w:p>
      <w:pPr>
        <w:ind w:right="420" w:firstLine="403"/>
        <w:spacing w:after="0" w:line="291" w:lineRule="auto"/>
        <w:rPr>
          <w:sz w:val="20"/>
          <w:szCs w:val="20"/>
          <w:color w:val="auto"/>
        </w:rPr>
      </w:pPr>
      <w:r>
        <w:rPr>
          <w:rFonts w:ascii="Arial" w:cs="Arial" w:eastAsia="Arial" w:hAnsi="Arial"/>
          <w:sz w:val="15"/>
          <w:szCs w:val="15"/>
          <w:color w:val="auto"/>
        </w:rPr>
        <w:t>Atlantic States, our largest subsidiary, participates in a proportional reinsurance agreement, or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50" w:lineRule="exact"/>
        <w:rPr>
          <w:sz w:val="20"/>
          <w:szCs w:val="20"/>
          <w:color w:val="auto"/>
        </w:rPr>
      </w:pPr>
    </w:p>
    <w:p>
      <w:pPr>
        <w:ind w:right="320" w:firstLine="403"/>
        <w:spacing w:after="0" w:line="324" w:lineRule="auto"/>
        <w:rPr>
          <w:sz w:val="20"/>
          <w:szCs w:val="20"/>
          <w:color w:val="auto"/>
        </w:rPr>
      </w:pPr>
      <w:r>
        <w:rPr>
          <w:rFonts w:ascii="Arial" w:cs="Arial" w:eastAsia="Arial" w:hAnsi="Arial"/>
          <w:sz w:val="15"/>
          <w:szCs w:val="15"/>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26" w:lineRule="exact"/>
        <w:rPr>
          <w:sz w:val="20"/>
          <w:szCs w:val="20"/>
          <w:color w:val="auto"/>
        </w:rPr>
      </w:pPr>
    </w:p>
    <w:p>
      <w:pPr>
        <w:ind w:firstLine="403"/>
        <w:spacing w:after="0" w:line="280" w:lineRule="auto"/>
        <w:rPr>
          <w:sz w:val="20"/>
          <w:szCs w:val="20"/>
          <w:color w:val="auto"/>
        </w:rPr>
      </w:pPr>
      <w:r>
        <w:rPr>
          <w:rFonts w:ascii="Arial" w:cs="Arial" w:eastAsia="Arial" w:hAnsi="Arial"/>
          <w:sz w:val="15"/>
          <w:szCs w:val="15"/>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2 -</w:t>
      </w:r>
      <w:r>
        <w:rPr>
          <w:sz w:val="20"/>
          <w:szCs w:val="20"/>
          <w:color w:val="auto"/>
        </w:rPr>
        <w:tab/>
      </w:r>
      <w:r>
        <w:rPr>
          <w:rFonts w:ascii="Arial" w:cs="Arial" w:eastAsia="Arial" w:hAnsi="Arial"/>
          <w:sz w:val="14"/>
          <w:szCs w:val="14"/>
          <w:b w:val="1"/>
          <w:bCs w:val="1"/>
          <w:color w:val="auto"/>
        </w:rPr>
        <w:t>Basis of Presentation</w:t>
      </w:r>
    </w:p>
    <w:p>
      <w:pPr>
        <w:spacing w:after="0" w:line="215" w:lineRule="exact"/>
        <w:rPr>
          <w:sz w:val="20"/>
          <w:szCs w:val="20"/>
          <w:color w:val="auto"/>
        </w:rPr>
      </w:pPr>
    </w:p>
    <w:p>
      <w:pPr>
        <w:ind w:right="100" w:firstLine="403"/>
        <w:spacing w:after="0" w:line="268" w:lineRule="auto"/>
        <w:rPr>
          <w:sz w:val="20"/>
          <w:szCs w:val="20"/>
          <w:color w:val="auto"/>
        </w:rPr>
      </w:pPr>
      <w:r>
        <w:rPr>
          <w:rFonts w:ascii="Arial" w:cs="Arial" w:eastAsia="Arial" w:hAnsi="Arial"/>
          <w:sz w:val="16"/>
          <w:szCs w:val="16"/>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nine months ended September 30, 2023 are not necessarily indicative of the results of operations we expect for the year ending December 31, 2023.</w:t>
      </w:r>
    </w:p>
    <w:p>
      <w:pPr>
        <w:spacing w:after="0" w:line="165" w:lineRule="exact"/>
        <w:rPr>
          <w:sz w:val="20"/>
          <w:szCs w:val="20"/>
          <w:color w:val="auto"/>
        </w:rPr>
      </w:pPr>
    </w:p>
    <w:p>
      <w:pPr>
        <w:ind w:right="360" w:firstLine="403"/>
        <w:spacing w:after="0" w:line="289" w:lineRule="auto"/>
        <w:rPr>
          <w:sz w:val="20"/>
          <w:szCs w:val="20"/>
          <w:color w:val="auto"/>
        </w:rPr>
      </w:pPr>
      <w:r>
        <w:rPr>
          <w:rFonts w:ascii="Arial" w:cs="Arial" w:eastAsia="Arial" w:hAnsi="Arial"/>
          <w:sz w:val="16"/>
          <w:szCs w:val="16"/>
          <w:color w:val="auto"/>
        </w:rPr>
        <w:t>We recommend you read the interim financial statements we include in this Form 10-Q Report in conjunction with the financial statements and the notes to our financial statements contained in our Annual Report on Form 10-K for the year ended December 31, 2022.</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3 -</w:t>
      </w:r>
      <w:r>
        <w:rPr>
          <w:sz w:val="20"/>
          <w:szCs w:val="20"/>
          <w:color w:val="auto"/>
        </w:rPr>
        <w:tab/>
      </w:r>
      <w:r>
        <w:rPr>
          <w:rFonts w:ascii="Arial" w:cs="Arial" w:eastAsia="Arial" w:hAnsi="Arial"/>
          <w:sz w:val="14"/>
          <w:szCs w:val="14"/>
          <w:b w:val="1"/>
          <w:bCs w:val="1"/>
          <w:color w:val="auto"/>
        </w:rPr>
        <w:t>Net Income (Loss) Per Share</w:t>
      </w:r>
    </w:p>
    <w:p>
      <w:pPr>
        <w:spacing w:after="0" w:line="215" w:lineRule="exact"/>
        <w:rPr>
          <w:sz w:val="20"/>
          <w:szCs w:val="20"/>
          <w:color w:val="auto"/>
        </w:rPr>
      </w:pPr>
    </w:p>
    <w:p>
      <w:pPr>
        <w:ind w:firstLine="403"/>
        <w:spacing w:after="0" w:line="262" w:lineRule="auto"/>
        <w:rPr>
          <w:sz w:val="20"/>
          <w:szCs w:val="20"/>
          <w:color w:val="auto"/>
        </w:rPr>
      </w:pPr>
      <w:r>
        <w:rPr>
          <w:rFonts w:ascii="Arial" w:cs="Arial" w:eastAsia="Arial" w:hAnsi="Arial"/>
          <w:sz w:val="16"/>
          <w:szCs w:val="16"/>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(loss) per share. The two-class method is an earnings allocation formula that determines net income (loss) per share separately for each class of common stock based on dividends we have declared and an allocation of our remaining undistributed net income (loss) using a participation percentage that reflects the dividend rights of each class. The table below presents for the periods indicated a reconciliation of the numerators and denominators we used to compute basic and diluted net income (loss) per share for our Class A common stock and our Class B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6"/>
                <w:szCs w:val="16"/>
                <w:b w:val="1"/>
                <w:bCs w:val="1"/>
                <w:color w:val="auto"/>
                <w:w w:val="95"/>
              </w:rPr>
              <w:t>Three Months Ended September 30,</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Class 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A</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B</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Basic net loss per share: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7"/>
          </w:tcPr>
          <w:p>
            <w:pPr>
              <w:jc w:val="right"/>
              <w:ind w:right="180"/>
              <w:spacing w:after="0"/>
              <w:rPr>
                <w:sz w:val="20"/>
                <w:szCs w:val="20"/>
                <w:color w:val="auto"/>
              </w:rPr>
            </w:pPr>
            <w:r>
              <w:rPr>
                <w:rFonts w:ascii="Arial" w:cs="Arial" w:eastAsia="Arial" w:hAnsi="Arial"/>
                <w:sz w:val="16"/>
                <w:szCs w:val="16"/>
                <w:color w:val="auto"/>
                <w:w w:val="91"/>
              </w:rPr>
              <w:t>(in thousands, except per share data)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68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6"/>
                <w:szCs w:val="16"/>
                <w:color w:val="auto"/>
              </w:rPr>
              <w:t>Numerator: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Allocation of net loss</w:t>
            </w:r>
          </w:p>
        </w:tc>
        <w:tc>
          <w:tcPr>
            <w:tcW w:w="15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(8,714)</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Denominator:</w:t>
            </w:r>
          </w:p>
        </w:tc>
        <w:tc>
          <w:tcPr>
            <w:tcW w:w="1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outstanding</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Basic net loss per share</w:t>
            </w:r>
          </w:p>
        </w:tc>
        <w:tc>
          <w:tcPr>
            <w:tcW w:w="130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(0.02)</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c>
          <w:tcPr>
            <w:tcW w:w="28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(0.33)</w:t>
            </w:r>
          </w:p>
        </w:tc>
        <w:tc>
          <w:tcPr>
            <w:tcW w:w="28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Diluted net loss per share:</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ind w:left="120"/>
              <w:spacing w:after="0"/>
              <w:rPr>
                <w:sz w:val="20"/>
                <w:szCs w:val="20"/>
                <w:color w:val="auto"/>
              </w:rPr>
            </w:pPr>
            <w:r>
              <w:rPr>
                <w:rFonts w:ascii="Arial" w:cs="Arial" w:eastAsia="Arial" w:hAnsi="Arial"/>
                <w:sz w:val="16"/>
                <w:szCs w:val="16"/>
                <w:color w:val="auto"/>
              </w:rPr>
              <w:t>Numerator:</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Allocation of net loss</w:t>
            </w:r>
          </w:p>
        </w:tc>
        <w:tc>
          <w:tcPr>
            <w:tcW w:w="15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(8,714)</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Denominator:</w:t>
            </w:r>
          </w:p>
        </w:tc>
        <w:tc>
          <w:tcPr>
            <w:tcW w:w="1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6"/>
                <w:szCs w:val="16"/>
                <w:color w:val="auto"/>
              </w:rPr>
              <w:t>Weighted-average shares effect of dilutive securities: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Director and employee stock options</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ind w:left="420"/>
              <w:spacing w:after="0"/>
              <w:rPr>
                <w:sz w:val="20"/>
                <w:szCs w:val="20"/>
                <w:color w:val="auto"/>
              </w:rPr>
            </w:pPr>
            <w:r>
              <w:rPr>
                <w:rFonts w:ascii="Arial" w:cs="Arial" w:eastAsia="Arial" w:hAnsi="Arial"/>
                <w:sz w:val="16"/>
                <w:szCs w:val="16"/>
                <w:color w:val="auto"/>
              </w:rPr>
              <w:t>Number of shares used in diluted computation</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5,577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26,781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net loss per share</w:t>
            </w:r>
          </w:p>
        </w:tc>
        <w:tc>
          <w:tcPr>
            <w:tcW w:w="1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300" w:type="dxa"/>
            <w:vAlign w:val="bottom"/>
          </w:tcPr>
          <w:p>
            <w:pPr>
              <w:jc w:val="right"/>
              <w:ind w:right="243"/>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8"/>
              </w:rPr>
              <w:t>Nine Months Ended September 30,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6"/>
                <w:szCs w:val="16"/>
                <w:b w:val="1"/>
                <w:bCs w:val="1"/>
                <w:color w:val="auto"/>
              </w:rPr>
              <w:t>2023</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A</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Class B</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gridSpan w:val="3"/>
            <w:vMerge w:val="restart"/>
          </w:tcPr>
          <w:p>
            <w:pPr>
              <w:spacing w:after="0"/>
              <w:rPr>
                <w:sz w:val="20"/>
                <w:szCs w:val="20"/>
                <w:color w:val="auto"/>
              </w:rPr>
            </w:pPr>
            <w:r>
              <w:rPr>
                <w:rFonts w:ascii="Arial" w:cs="Arial" w:eastAsia="Arial" w:hAnsi="Arial"/>
                <w:sz w:val="16"/>
                <w:szCs w:val="16"/>
                <w:color w:val="auto"/>
              </w:rPr>
              <w:t>Basic net income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color w:val="auto"/>
                <w:w w:val="96"/>
              </w:rPr>
              <w:t>(in thousands, except per share data)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9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Arial" w:cs="Arial" w:eastAsia="Arial" w:hAnsi="Arial"/>
                <w:sz w:val="16"/>
                <w:szCs w:val="16"/>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Allocation of net income (loss)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Denominator:</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26,216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Basic net income (loss) per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0.20</w:t>
            </w:r>
          </w:p>
        </w:tc>
        <w:tc>
          <w:tcPr>
            <w:tcW w:w="2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0.17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(0.17)</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restart"/>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Diluted net income (loss)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Allocation of net income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5,421</w:t>
            </w: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(4,529)</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Denominator:</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Number of shares used in basic computation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5,577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26,216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effect of dilutive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Director and employee stock options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Number of shares used in diluted computation</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Diluted net income (loss) per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0.20</w:t>
            </w:r>
          </w:p>
        </w:tc>
        <w:tc>
          <w:tcPr>
            <w:tcW w:w="2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0.17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(0.17)</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260" w:firstLine="403"/>
        <w:spacing w:after="0" w:line="324" w:lineRule="auto"/>
        <w:rPr>
          <w:sz w:val="20"/>
          <w:szCs w:val="20"/>
          <w:color w:val="auto"/>
        </w:rPr>
      </w:pPr>
      <w:r>
        <w:rPr>
          <w:rFonts w:ascii="Arial" w:cs="Arial" w:eastAsia="Arial" w:hAnsi="Arial"/>
          <w:sz w:val="15"/>
          <w:szCs w:val="15"/>
          <w:color w:val="auto"/>
        </w:rPr>
        <w:t>We did not include outstanding options to purchase the following number of shares of Class A common stock in our computation of diluted net income per share because the exercise price of the options exceeded the average market price of our Class A common stock during the applicable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700" w:type="dxa"/>
            <w:vAlign w:val="bottom"/>
            <w:gridSpan w:val="5"/>
          </w:tcPr>
          <w:p>
            <w:pPr>
              <w:ind w:left="20"/>
              <w:spacing w:after="0"/>
              <w:rPr>
                <w:sz w:val="20"/>
                <w:szCs w:val="20"/>
                <w:color w:val="auto"/>
              </w:rPr>
            </w:pPr>
            <w:r>
              <w:rPr>
                <w:rFonts w:ascii="Arial" w:cs="Arial" w:eastAsia="Arial" w:hAnsi="Arial"/>
                <w:sz w:val="16"/>
                <w:szCs w:val="16"/>
                <w:b w:val="1"/>
                <w:bCs w:val="1"/>
                <w:color w:val="auto"/>
                <w:w w:val="97"/>
              </w:rPr>
              <w:t>Three Months Ended September 30,</w:t>
            </w:r>
          </w:p>
        </w:tc>
        <w:tc>
          <w:tcPr>
            <w:tcW w:w="2680" w:type="dxa"/>
            <w:vAlign w:val="bottom"/>
            <w:gridSpan w:val="4"/>
          </w:tcPr>
          <w:p>
            <w:pPr>
              <w:ind w:left="60"/>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780" w:type="dxa"/>
            <w:vAlign w:val="bottom"/>
            <w:gridSpan w:val="2"/>
          </w:tcPr>
          <w:p>
            <w:pPr>
              <w:spacing w:after="0"/>
              <w:rPr>
                <w:sz w:val="11"/>
                <w:szCs w:val="11"/>
                <w:color w:val="auto"/>
              </w:rPr>
            </w:pPr>
          </w:p>
        </w:tc>
        <w:tc>
          <w:tcPr>
            <w:tcW w:w="420" w:type="dxa"/>
            <w:vAlign w:val="bottom"/>
            <w:gridSpan w:val="2"/>
          </w:tcPr>
          <w:p>
            <w:pPr>
              <w:spacing w:after="0"/>
              <w:rPr>
                <w:sz w:val="11"/>
                <w:szCs w:val="11"/>
                <w:color w:val="auto"/>
              </w:rPr>
            </w:pPr>
          </w:p>
        </w:tc>
        <w:tc>
          <w:tcPr>
            <w:tcW w:w="134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780" w:type="dxa"/>
            <w:vAlign w:val="bottom"/>
            <w:gridSpan w:val="2"/>
            <w:shd w:val="clear" w:color="auto" w:fill="CCEEFF"/>
          </w:tcPr>
          <w:p>
            <w:pPr>
              <w:jc w:val="right"/>
              <w:ind w:right="3038"/>
              <w:spacing w:after="0"/>
              <w:rPr>
                <w:sz w:val="20"/>
                <w:szCs w:val="20"/>
                <w:color w:val="auto"/>
              </w:rPr>
            </w:pPr>
            <w:r>
              <w:rPr>
                <w:rFonts w:ascii="Arial" w:cs="Arial" w:eastAsia="Arial" w:hAnsi="Arial"/>
                <w:sz w:val="16"/>
                <w:szCs w:val="16"/>
                <w:color w:val="auto"/>
                <w:w w:val="91"/>
              </w:rPr>
              <w:t>Number of options to purchase Class A shares excluded</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2,245,435</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440" w:firstLine="403"/>
        <w:spacing w:after="0" w:line="273" w:lineRule="auto"/>
        <w:rPr>
          <w:sz w:val="20"/>
          <w:szCs w:val="20"/>
          <w:color w:val="auto"/>
        </w:rPr>
      </w:pPr>
      <w:r>
        <w:rPr>
          <w:rFonts w:ascii="Arial" w:cs="Arial" w:eastAsia="Arial" w:hAnsi="Arial"/>
          <w:sz w:val="16"/>
          <w:szCs w:val="16"/>
          <w:color w:val="auto"/>
        </w:rPr>
        <w:t>We did not include any effect of dilutive securities in the computation of diluted net loss per share for the three months ended September 30, 2023 because we sustained a net loss for the period. We did not include any effect of dilutive securities in the computation of diluted net income (loss) per share for the three and nine months ended September 30, 2022 because we sustained a net loss for the respective periods.</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4 -</w:t>
      </w:r>
      <w:r>
        <w:rPr>
          <w:sz w:val="20"/>
          <w:szCs w:val="20"/>
          <w:color w:val="auto"/>
        </w:rPr>
        <w:tab/>
      </w:r>
      <w:r>
        <w:rPr>
          <w:rFonts w:ascii="Arial" w:cs="Arial" w:eastAsia="Arial" w:hAnsi="Arial"/>
          <w:sz w:val="14"/>
          <w:szCs w:val="14"/>
          <w:b w:val="1"/>
          <w:bCs w:val="1"/>
          <w:color w:val="auto"/>
        </w:rPr>
        <w:t>Reinsurance</w:t>
      </w:r>
    </w:p>
    <w:p>
      <w:pPr>
        <w:spacing w:after="0" w:line="215" w:lineRule="exact"/>
        <w:rPr>
          <w:sz w:val="20"/>
          <w:szCs w:val="20"/>
          <w:color w:val="auto"/>
        </w:rPr>
      </w:pPr>
    </w:p>
    <w:p>
      <w:pPr>
        <w:ind w:right="80" w:firstLine="403"/>
        <w:spacing w:after="0" w:line="273" w:lineRule="auto"/>
        <w:rPr>
          <w:sz w:val="20"/>
          <w:szCs w:val="20"/>
          <w:color w:val="auto"/>
        </w:rPr>
      </w:pPr>
      <w:r>
        <w:rPr>
          <w:rFonts w:ascii="Arial" w:cs="Arial" w:eastAsia="Arial" w:hAnsi="Arial"/>
          <w:sz w:val="16"/>
          <w:szCs w:val="16"/>
          <w:color w:val="auto"/>
        </w:rPr>
        <w:t>Atlantic States and Donegal Mutual have participated in a pooling agreement since 1986 under which they pool their direct premiums written,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62" w:lineRule="exact"/>
        <w:rPr>
          <w:sz w:val="20"/>
          <w:szCs w:val="20"/>
          <w:color w:val="auto"/>
        </w:rPr>
      </w:pPr>
    </w:p>
    <w:p>
      <w:pPr>
        <w:ind w:right="60" w:firstLine="403"/>
        <w:spacing w:after="0" w:line="291" w:lineRule="auto"/>
        <w:rPr>
          <w:sz w:val="20"/>
          <w:szCs w:val="20"/>
          <w:color w:val="auto"/>
        </w:rPr>
      </w:pPr>
      <w:r>
        <w:rPr>
          <w:rFonts w:ascii="Arial" w:cs="Arial" w:eastAsia="Arial" w:hAnsi="Arial"/>
          <w:sz w:val="15"/>
          <w:szCs w:val="15"/>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2023:</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0" w:lineRule="exact"/>
        <w:rPr>
          <w:sz w:val="20"/>
          <w:szCs w:val="20"/>
          <w:color w:val="auto"/>
        </w:rPr>
      </w:pPr>
    </w:p>
    <w:p>
      <w:pPr>
        <w:ind w:left="880" w:right="80" w:hanging="437"/>
        <w:spacing w:after="0" w:line="289"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excess of loss reinsurance, under which Donegal Mutual and our insurance subsidiaries recover losses over a set retention of $3.0 million for all losses other than workers’compensation and a retention of $2.0 million for workers’ compensation losses; and</w:t>
      </w:r>
    </w:p>
    <w:p>
      <w:pPr>
        <w:spacing w:after="0" w:line="149" w:lineRule="exact"/>
        <w:rPr>
          <w:rFonts w:ascii="Arial" w:cs="Arial" w:eastAsia="Arial" w:hAnsi="Arial"/>
          <w:sz w:val="16"/>
          <w:szCs w:val="16"/>
          <w:color w:val="auto"/>
        </w:rPr>
      </w:pPr>
    </w:p>
    <w:p>
      <w:pPr>
        <w:ind w:left="880" w:right="400" w:hanging="437"/>
        <w:spacing w:after="0" w:line="324" w:lineRule="auto"/>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catastrophe reinsurance, under which Donegal Mutual and our insurance subsidiaries recover 100% of an accumulation of many losses resulting from a single event, including natural disasters, over a set retention of $25.0 million up to aggregate losses of $175.0 million per occurrence.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property insurance, our insurance subsidiaries have excess of loss reinsurance that provides coverage of $37.0 million per loss over a set retention of $3.0</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million. For liability insurance, our insurance subsidiaries have excess of loss reinsurance that provides coverage of $72.0 million per occurrence over a set retention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$3.0 million. For workers’ compensation insurance, our insurance subsidiaries have excess of loss reinsurance that provides coverage of $18.0 million on any one life over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 set retention of $2.0 million.</w:t>
      </w:r>
    </w:p>
    <w:p>
      <w:pPr>
        <w:spacing w:after="0" w:line="200" w:lineRule="exact"/>
        <w:rPr>
          <w:sz w:val="20"/>
          <w:szCs w:val="20"/>
          <w:color w:val="auto"/>
        </w:rPr>
      </w:pPr>
    </w:p>
    <w:p>
      <w:pPr>
        <w:ind w:right="140" w:firstLine="403"/>
        <w:spacing w:after="0" w:line="287" w:lineRule="auto"/>
        <w:rPr>
          <w:sz w:val="20"/>
          <w:szCs w:val="20"/>
          <w:color w:val="auto"/>
        </w:rPr>
      </w:pPr>
      <w:r>
        <w:rPr>
          <w:rFonts w:ascii="Arial" w:cs="Arial" w:eastAsia="Arial" w:hAnsi="Arial"/>
          <w:sz w:val="15"/>
          <w:szCs w:val="15"/>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53" w:lineRule="exact"/>
        <w:rPr>
          <w:sz w:val="20"/>
          <w:szCs w:val="20"/>
          <w:color w:val="auto"/>
        </w:rPr>
      </w:pPr>
    </w:p>
    <w:p>
      <w:pPr>
        <w:ind w:right="300" w:firstLine="403"/>
        <w:spacing w:after="0" w:line="289" w:lineRule="auto"/>
        <w:rPr>
          <w:sz w:val="20"/>
          <w:szCs w:val="20"/>
          <w:color w:val="auto"/>
        </w:rPr>
      </w:pPr>
      <w:r>
        <w:rPr>
          <w:rFonts w:ascii="Arial" w:cs="Arial" w:eastAsia="Arial" w:hAnsi="Arial"/>
          <w:sz w:val="16"/>
          <w:szCs w:val="16"/>
          <w:color w:val="auto"/>
        </w:rPr>
        <w:t>Our insurance subsidiaries and Donegal Mutual also purchase facultative reinsurance to cover certain exposures, including property exposures that exceeded the limits provided by their respective treaty reinsurance.</w:t>
      </w:r>
    </w:p>
    <w:p>
      <w:pPr>
        <w:spacing w:after="0" w:line="149" w:lineRule="exact"/>
        <w:rPr>
          <w:sz w:val="20"/>
          <w:szCs w:val="20"/>
          <w:color w:val="auto"/>
        </w:rPr>
      </w:pPr>
    </w:p>
    <w:p>
      <w:pPr>
        <w:ind w:right="40" w:firstLine="370"/>
        <w:spacing w:after="0" w:line="273" w:lineRule="auto"/>
        <w:rPr>
          <w:sz w:val="20"/>
          <w:szCs w:val="20"/>
          <w:color w:val="auto"/>
        </w:rPr>
      </w:pPr>
      <w:r>
        <w:rPr>
          <w:rFonts w:ascii="Arial" w:cs="Arial" w:eastAsia="Arial" w:hAnsi="Arial"/>
          <w:sz w:val="16"/>
          <w:szCs w:val="16"/>
          <w:color w:val="auto"/>
        </w:rPr>
        <w:t>In order to write automobile insurance in the state of Michigan, Atlantic States and MICO are required to be members of the Michigan Catastrophic Claims Association (“MCCA”). The MCCA provides reinsurance to Atlantic States and MICO for personal automobile and commercial automobile personal injury claims in the state of Michigan over a set retention.</w:t>
      </w:r>
    </w:p>
    <w:p>
      <w:pPr>
        <w:spacing w:after="0" w:line="162" w:lineRule="exact"/>
        <w:rPr>
          <w:sz w:val="20"/>
          <w:szCs w:val="20"/>
          <w:color w:val="auto"/>
        </w:rPr>
      </w:pPr>
    </w:p>
    <w:p>
      <w:pPr>
        <w:ind w:right="120" w:firstLine="370"/>
        <w:spacing w:after="0" w:line="273" w:lineRule="auto"/>
        <w:rPr>
          <w:sz w:val="20"/>
          <w:szCs w:val="20"/>
          <w:color w:val="auto"/>
        </w:rPr>
      </w:pPr>
      <w:r>
        <w:rPr>
          <w:rFonts w:ascii="Arial" w:cs="Arial" w:eastAsia="Arial" w:hAnsi="Arial"/>
          <w:sz w:val="16"/>
          <w:szCs w:val="16"/>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9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4"/>
          <w:szCs w:val="14"/>
          <w:b w:val="1"/>
          <w:bCs w:val="1"/>
          <w:color w:val="auto"/>
        </w:rPr>
        <w:t>Investments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amortized cost and estimated fair values of our fixed maturities at September 30, 2023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rPr>
              <w:t>Allowance 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Amortized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1340" w:type="dxa"/>
            <w:vAlign w:val="bottom"/>
            <w:gridSpan w:val="4"/>
          </w:tcPr>
          <w:p>
            <w:pPr>
              <w:ind w:left="100"/>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9"/>
        </w:trPr>
        <w:tc>
          <w:tcPr>
            <w:tcW w:w="326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Carrying Value</w:t>
            </w:r>
          </w:p>
        </w:tc>
        <w:tc>
          <w:tcPr>
            <w:tcW w:w="22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Credit Losses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94"/>
              </w:rPr>
              <w:t>Gains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60" w:type="dxa"/>
            <w:vAlign w:val="bottom"/>
            <w:vMerge w:val="restart"/>
          </w:tcPr>
          <w:p>
            <w:pPr>
              <w:spacing w:after="0"/>
              <w:rPr>
                <w:sz w:val="20"/>
                <w:szCs w:val="20"/>
                <w:color w:val="auto"/>
              </w:rPr>
            </w:pPr>
            <w:r>
              <w:rPr>
                <w:rFonts w:ascii="Arial" w:cs="Arial" w:eastAsia="Arial" w:hAnsi="Arial"/>
                <w:sz w:val="16"/>
                <w:szCs w:val="16"/>
                <w:b w:val="1"/>
                <w:bCs w:val="1"/>
                <w:color w:val="auto"/>
              </w:rPr>
              <w:t>Held to Maturity</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6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w w:val="96"/>
              </w:rPr>
              <w:t>U.S. Treasury securities and obligations of U.S.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government corporations and agencies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12,921</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78,618</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20"/>
                <w:szCs w:val="20"/>
                <w:color w:val="auto"/>
              </w:rPr>
            </w:pPr>
            <w:r>
              <w:rPr>
                <w:rFonts w:ascii="Arial" w:cs="Arial" w:eastAsia="Arial" w:hAnsi="Arial"/>
                <w:sz w:val="16"/>
                <w:szCs w:val="16"/>
                <w:color w:val="auto"/>
                <w:w w:val="99"/>
              </w:rPr>
              <w:t>Obligations of states and political subdivisions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379,764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380,062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75,269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305,247</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202,797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203,797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179,513</w:t>
            </w:r>
          </w:p>
        </w:tc>
        <w:tc>
          <w:tcPr>
            <w:tcW w:w="0" w:type="dxa"/>
            <w:vAlign w:val="bottom"/>
          </w:tcPr>
          <w:p>
            <w:pPr>
              <w:spacing w:after="0"/>
              <w:rPr>
                <w:sz w:val="1"/>
                <w:szCs w:val="1"/>
                <w:color w:val="auto"/>
              </w:rPr>
            </w:pPr>
          </w:p>
        </w:tc>
      </w:tr>
      <w:tr>
        <w:trPr>
          <w:trHeight w:val="202"/>
        </w:trPr>
        <w:tc>
          <w:tcPr>
            <w:tcW w:w="326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9,867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9,873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9,125</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683,912</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685,271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572,503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Gross Unrealized</w:t>
            </w:r>
          </w:p>
        </w:tc>
        <w:tc>
          <w:tcPr>
            <w:tcW w:w="1420" w:type="dxa"/>
            <w:vAlign w:val="bottom"/>
            <w:gridSpan w:val="4"/>
          </w:tcPr>
          <w:p>
            <w:pPr>
              <w:ind w:left="100"/>
              <w:spacing w:after="0"/>
              <w:rPr>
                <w:sz w:val="20"/>
                <w:szCs w:val="20"/>
                <w:color w:val="auto"/>
              </w:rPr>
            </w:pPr>
            <w:r>
              <w:rPr>
                <w:rFonts w:ascii="Arial" w:cs="Arial" w:eastAsia="Arial" w:hAnsi="Arial"/>
                <w:sz w:val="16"/>
                <w:szCs w:val="16"/>
                <w:b w:val="1"/>
                <w:bCs w:val="1"/>
                <w:color w:val="auto"/>
                <w:w w:val="98"/>
              </w:rPr>
              <w:t>Gross Unrealized</w:t>
            </w:r>
          </w:p>
        </w:tc>
        <w:tc>
          <w:tcPr>
            <w:tcW w:w="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Amortized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Available for Sale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spacing w:after="0"/>
              <w:rPr>
                <w:sz w:val="20"/>
                <w:szCs w:val="20"/>
                <w:color w:val="auto"/>
              </w:rPr>
            </w:pPr>
            <w:r>
              <w:rPr>
                <w:rFonts w:ascii="Arial" w:cs="Arial" w:eastAsia="Arial" w:hAnsi="Arial"/>
                <w:sz w:val="16"/>
                <w:szCs w:val="16"/>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4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U.S. Treasury securities and obligations of U.S. government corporations and</w:t>
            </w: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agencies</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88,636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82,151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Obligations of states and political subdivisions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42,173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35,546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Mortgage-backed securities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285,619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29,799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255,820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Totals</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566,540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40" w:firstLine="403"/>
        <w:spacing w:after="0" w:line="308" w:lineRule="auto"/>
        <w:rPr>
          <w:sz w:val="20"/>
          <w:szCs w:val="20"/>
          <w:color w:val="auto"/>
        </w:rPr>
      </w:pPr>
      <w:r>
        <w:rPr>
          <w:rFonts w:ascii="Arial" w:cs="Arial" w:eastAsia="Arial" w:hAnsi="Arial"/>
          <w:sz w:val="14"/>
          <w:szCs w:val="14"/>
          <w:color w:val="auto"/>
        </w:rPr>
        <w:t>At September 30, 2023, our holdings of obligations of states and political subdivisions included general obligation bonds with an aggregate fair value of $225.4 million and an amortized cost of $280.9 million. Our holdings at September 30, 2023 also included special revenue bonds with an aggregate fair value of $115.4 million and an amortized cost of $141.3 million. With respect to both categories of those bonds at September 30, 2023, we held no securities of any issuer that comprised more than 10% of our holdings of either bond category. Education bonds and water and sewer utility bonds represented 47% and 36%, respectively, of our total investments in special revenue bonds based on the carrying values of these investments at September 30, 2023. Many of the issuers of the special revenue bonds we held at September 30, 2023 have the authority to impose ad valorem taxes. In that respect, many of the special revenue bonds we held are similar to general obligation bonds.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amortized cost and estimated fair values of our fixed maturities at December 31, 2022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Gross Unrealized</w:t>
            </w:r>
          </w:p>
        </w:tc>
        <w:tc>
          <w:tcPr>
            <w:tcW w:w="1420" w:type="dxa"/>
            <w:vAlign w:val="bottom"/>
            <w:gridSpan w:val="4"/>
          </w:tcPr>
          <w:p>
            <w:pPr>
              <w:ind w:left="100"/>
              <w:spacing w:after="0"/>
              <w:rPr>
                <w:sz w:val="20"/>
                <w:szCs w:val="20"/>
                <w:color w:val="auto"/>
              </w:rPr>
            </w:pPr>
            <w:r>
              <w:rPr>
                <w:rFonts w:ascii="Arial" w:cs="Arial" w:eastAsia="Arial" w:hAnsi="Arial"/>
                <w:sz w:val="16"/>
                <w:szCs w:val="16"/>
                <w:b w:val="1"/>
                <w:bCs w:val="1"/>
                <w:color w:val="auto"/>
                <w:w w:val="98"/>
              </w:rPr>
              <w:t>Gross Unrealized</w:t>
            </w:r>
          </w:p>
        </w:tc>
        <w:tc>
          <w:tcPr>
            <w:tcW w:w="12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Amortized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Held to Maturity</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spacing w:after="0"/>
              <w:rPr>
                <w:sz w:val="20"/>
                <w:szCs w:val="20"/>
                <w:color w:val="auto"/>
              </w:rPr>
            </w:pPr>
            <w:r>
              <w:rPr>
                <w:rFonts w:ascii="Arial" w:cs="Arial" w:eastAsia="Arial" w:hAnsi="Arial"/>
                <w:sz w:val="16"/>
                <w:szCs w:val="16"/>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w w:val="98"/>
              </w:rPr>
              <w:t>U.S. Treasury securities and obligations of U.S. government corporations and</w:t>
            </w: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agencies</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10,566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92,797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Obligations of states and political subdivisions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382,097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60,494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323,413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170,439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12,031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11,396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Totals</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688,439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598,045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Gross Unrealized</w:t>
            </w:r>
          </w:p>
        </w:tc>
        <w:tc>
          <w:tcPr>
            <w:tcW w:w="1420" w:type="dxa"/>
            <w:vAlign w:val="bottom"/>
            <w:gridSpan w:val="4"/>
          </w:tcPr>
          <w:p>
            <w:pPr>
              <w:ind w:left="100"/>
              <w:spacing w:after="0"/>
              <w:rPr>
                <w:sz w:val="20"/>
                <w:szCs w:val="20"/>
                <w:color w:val="auto"/>
              </w:rPr>
            </w:pPr>
            <w:r>
              <w:rPr>
                <w:rFonts w:ascii="Arial" w:cs="Arial" w:eastAsia="Arial" w:hAnsi="Arial"/>
                <w:sz w:val="16"/>
                <w:szCs w:val="16"/>
                <w:b w:val="1"/>
                <w:bCs w:val="1"/>
                <w:color w:val="auto"/>
                <w:w w:val="98"/>
              </w:rPr>
              <w:t>Gross Unrealized</w:t>
            </w:r>
          </w:p>
        </w:tc>
        <w:tc>
          <w:tcPr>
            <w:tcW w:w="12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Amortized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Available for Sale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spacing w:after="0"/>
              <w:rPr>
                <w:sz w:val="20"/>
                <w:szCs w:val="20"/>
                <w:color w:val="auto"/>
              </w:rPr>
            </w:pPr>
            <w:r>
              <w:rPr>
                <w:rFonts w:ascii="Arial" w:cs="Arial" w:eastAsia="Arial" w:hAnsi="Arial"/>
                <w:sz w:val="16"/>
                <w:szCs w:val="16"/>
                <w:color w:val="auto"/>
                <w:w w:val="73"/>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w w:val="98"/>
              </w:rPr>
              <w:t>U.S. Treasury securities and obligations of U.S. government corporations and</w:t>
            </w: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agencies</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68,538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109</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63,522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Obligations of states and political subdivisions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45,448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40,156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202,838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239,886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22,765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217,276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Totals</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523,792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firstLine="403"/>
        <w:spacing w:after="0" w:line="263" w:lineRule="auto"/>
        <w:rPr>
          <w:sz w:val="20"/>
          <w:szCs w:val="20"/>
          <w:color w:val="auto"/>
        </w:rPr>
      </w:pPr>
      <w:r>
        <w:rPr>
          <w:rFonts w:ascii="Arial" w:cs="Arial" w:eastAsia="Arial" w:hAnsi="Arial"/>
          <w:sz w:val="16"/>
          <w:szCs w:val="16"/>
          <w:color w:val="auto"/>
        </w:rPr>
        <w:t>At December 31, 2022, our holdings of obligations of states and political subdivisions included general obligation bonds with an aggregate fair value of $240.7 million and an amortized cost of $283.5 million. Our holdings also included special revenue bonds with an aggregate fair value of $122.9 million and an amortized cost of $144.0 million. With respect to both categories of bonds, we held no securities of any issuer that comprised more than 10% of that category at December 31, 2022. Education bonds and water and sewer utility bonds represented 48% and 35%, respectively, of our total investments in special revenue bonds based on their carrying values at December 31, 2022. Many of the issuers of the special revenue bonds we held at December 31, 2022 have the authority to impose ad valorem taxes. In that respect, many of the special revenue bonds we held are similar to general obligation bonds.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0" w:lineRule="exact"/>
        <w:rPr>
          <w:sz w:val="20"/>
          <w:szCs w:val="20"/>
          <w:color w:val="auto"/>
        </w:rPr>
      </w:pPr>
    </w:p>
    <w:p>
      <w:pPr>
        <w:ind w:right="40" w:firstLine="444"/>
        <w:spacing w:after="0" w:line="265" w:lineRule="auto"/>
        <w:rPr>
          <w:sz w:val="20"/>
          <w:szCs w:val="20"/>
          <w:color w:val="auto"/>
        </w:rPr>
      </w:pPr>
      <w:r>
        <w:rPr>
          <w:rFonts w:ascii="Arial" w:cs="Arial" w:eastAsia="Arial" w:hAnsi="Arial"/>
          <w:sz w:val="16"/>
          <w:szCs w:val="16"/>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$ 225,070 and $415,153 in other comprehensive loss during the nine months ended September 30, 2023 and 2022, respectively. At September 30, 2023 and December 31, 2022, net unrealized losses of $1.5 million and $4.7 million, respectively, remained within accumulated other comprehensive loss.</w:t>
      </w:r>
    </w:p>
    <w:p>
      <w:pPr>
        <w:spacing w:after="0" w:line="169" w:lineRule="exact"/>
        <w:rPr>
          <w:sz w:val="20"/>
          <w:szCs w:val="20"/>
          <w:color w:val="auto"/>
        </w:rPr>
      </w:pPr>
    </w:p>
    <w:p>
      <w:pPr>
        <w:ind w:right="200" w:firstLine="403"/>
        <w:spacing w:after="0" w:line="324" w:lineRule="auto"/>
        <w:rPr>
          <w:sz w:val="20"/>
          <w:szCs w:val="20"/>
          <w:color w:val="auto"/>
        </w:rPr>
      </w:pPr>
      <w:r>
        <w:rPr>
          <w:rFonts w:ascii="Arial" w:cs="Arial" w:eastAsia="Arial" w:hAnsi="Arial"/>
          <w:sz w:val="15"/>
          <w:szCs w:val="15"/>
          <w:color w:val="auto"/>
        </w:rPr>
        <w:t>We show below the amortized cost and estimated fair value of our fixed maturities at September 30, 2023 by contractual maturity. Expected maturities may differ from contractual maturities because issuers of the securities may have the right to call or prepay obligations with or without call or prepayment penalties.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Estimated Fair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Amortized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Held to maturity</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70"/>
              </w:rPr>
              <w:t>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20" w:type="dxa"/>
            <w:vAlign w:val="bottom"/>
            <w:gridSpan w:val="2"/>
            <w:vMerge w:val="continue"/>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Due in one year or less</w:t>
            </w: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22,133</w:t>
            </w:r>
          </w:p>
        </w:tc>
        <w:tc>
          <w:tcPr>
            <w:tcW w:w="4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Due after one year through five years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98,950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Due after five years through ten years</w:t>
            </w: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217,144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Due after ten years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295,877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225,272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Mortgage-backed securities</w:t>
            </w:r>
          </w:p>
        </w:tc>
        <w:tc>
          <w:tcPr>
            <w:tcW w:w="1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Total held to maturity</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685,271</w:t>
            </w:r>
          </w:p>
        </w:tc>
        <w:tc>
          <w:tcPr>
            <w:tcW w:w="100" w:type="dxa"/>
            <w:vAlign w:val="bottom"/>
          </w:tcPr>
          <w:p>
            <w:pPr>
              <w:spacing w:after="0"/>
              <w:rPr>
                <w:sz w:val="17"/>
                <w:szCs w:val="17"/>
                <w:color w:val="auto"/>
              </w:rPr>
            </w:pPr>
          </w:p>
        </w:tc>
        <w:tc>
          <w:tcPr>
            <w:tcW w:w="480" w:type="dxa"/>
            <w:vAlign w:val="bottom"/>
            <w:gridSpan w:val="2"/>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572,503</w:t>
            </w: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b w:val="1"/>
                <w:bCs w:val="1"/>
                <w:color w:val="auto"/>
              </w:rPr>
              <w:t>Available for sale</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Due in one year or less</w:t>
            </w: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40,101</w:t>
            </w:r>
          </w:p>
        </w:tc>
        <w:tc>
          <w:tcPr>
            <w:tcW w:w="4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Due after one year through five years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161,274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Due after five years through ten years</w:t>
            </w: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89,399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Due after ten years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25,456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20,589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Mortgage-backed securities</w:t>
            </w:r>
          </w:p>
        </w:tc>
        <w:tc>
          <w:tcPr>
            <w:tcW w:w="1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Total available for sale</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628,751</w:t>
            </w:r>
          </w:p>
        </w:tc>
        <w:tc>
          <w:tcPr>
            <w:tcW w:w="100" w:type="dxa"/>
            <w:vAlign w:val="bottom"/>
          </w:tcPr>
          <w:p>
            <w:pPr>
              <w:spacing w:after="0"/>
              <w:rPr>
                <w:sz w:val="17"/>
                <w:szCs w:val="17"/>
                <w:color w:val="auto"/>
              </w:rPr>
            </w:pPr>
          </w:p>
        </w:tc>
        <w:tc>
          <w:tcPr>
            <w:tcW w:w="480" w:type="dxa"/>
            <w:vAlign w:val="bottom"/>
            <w:gridSpan w:val="2"/>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566,540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5"/>
            <w:vMerge w:val="restart"/>
          </w:tcPr>
          <w:p>
            <w:pPr>
              <w:ind w:left="380"/>
              <w:spacing w:after="0"/>
              <w:rPr>
                <w:sz w:val="20"/>
                <w:szCs w:val="20"/>
                <w:color w:val="auto"/>
              </w:rPr>
            </w:pPr>
            <w:r>
              <w:rPr>
                <w:rFonts w:ascii="Arial" w:cs="Arial" w:eastAsia="Arial" w:hAnsi="Arial"/>
                <w:sz w:val="16"/>
                <w:szCs w:val="16"/>
                <w:color w:val="auto"/>
                <w:w w:val="99"/>
              </w:rPr>
              <w:t>The cost and estimated fair values of our equity securities at September 30, 2023 were as follows: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730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Estimated Fair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Gross 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84"/>
              </w:rPr>
              <w:t>Gross 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660"/>
              <w:spacing w:after="0"/>
              <w:rPr>
                <w:sz w:val="20"/>
                <w:szCs w:val="20"/>
                <w:color w:val="auto"/>
              </w:rPr>
            </w:pPr>
            <w:r>
              <w:rPr>
                <w:rFonts w:ascii="Arial" w:cs="Arial" w:eastAsia="Arial" w:hAnsi="Arial"/>
                <w:sz w:val="16"/>
                <w:szCs w:val="16"/>
                <w:color w:val="auto"/>
              </w:rPr>
              <w:t>(in</w:t>
            </w:r>
          </w:p>
        </w:tc>
        <w:tc>
          <w:tcPr>
            <w:tcW w:w="1360" w:type="dxa"/>
            <w:vAlign w:val="bottom"/>
            <w:gridSpan w:val="4"/>
          </w:tcPr>
          <w:p>
            <w:pPr>
              <w:jc w:val="right"/>
              <w:ind w:right="698"/>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27,953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8,014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503</w:t>
            </w:r>
          </w:p>
        </w:tc>
        <w:tc>
          <w:tcPr>
            <w:tcW w:w="4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35,464</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7300" w:type="dxa"/>
            <w:vAlign w:val="bottom"/>
            <w:gridSpan w:val="5"/>
          </w:tcPr>
          <w:p>
            <w:pPr>
              <w:ind w:left="380"/>
              <w:spacing w:after="0"/>
              <w:rPr>
                <w:sz w:val="20"/>
                <w:szCs w:val="20"/>
                <w:color w:val="auto"/>
              </w:rPr>
            </w:pPr>
            <w:r>
              <w:rPr>
                <w:rFonts w:ascii="Arial" w:cs="Arial" w:eastAsia="Arial" w:hAnsi="Arial"/>
                <w:sz w:val="16"/>
                <w:szCs w:val="16"/>
                <w:color w:val="auto"/>
              </w:rPr>
              <w:t>The cost and estimated fair values of our equity securities at December 31, 2022 were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Estimated Fair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Gross 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84"/>
              </w:rPr>
              <w:t>Gross 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660"/>
              <w:spacing w:after="0"/>
              <w:rPr>
                <w:sz w:val="20"/>
                <w:szCs w:val="20"/>
                <w:color w:val="auto"/>
              </w:rPr>
            </w:pPr>
            <w:r>
              <w:rPr>
                <w:rFonts w:ascii="Arial" w:cs="Arial" w:eastAsia="Arial" w:hAnsi="Arial"/>
                <w:sz w:val="16"/>
                <w:szCs w:val="16"/>
                <w:color w:val="auto"/>
              </w:rPr>
              <w:t>(in</w:t>
            </w:r>
          </w:p>
        </w:tc>
        <w:tc>
          <w:tcPr>
            <w:tcW w:w="1360" w:type="dxa"/>
            <w:vAlign w:val="bottom"/>
            <w:gridSpan w:val="4"/>
          </w:tcPr>
          <w:p>
            <w:pPr>
              <w:jc w:val="right"/>
              <w:ind w:right="698"/>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5,666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35,105</w:t>
            </w: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60" w:type="dxa"/>
            <w:vAlign w:val="bottom"/>
          </w:tcPr>
          <w:p>
            <w:pPr>
              <w:jc w:val="right"/>
              <w:ind w:right="223"/>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640" w:type="dxa"/>
            <w:vAlign w:val="bottom"/>
            <w:gridSpan w:val="12"/>
          </w:tcPr>
          <w:p>
            <w:pPr>
              <w:jc w:val="right"/>
              <w:ind w:right="578"/>
              <w:spacing w:after="0"/>
              <w:rPr>
                <w:sz w:val="20"/>
                <w:szCs w:val="20"/>
                <w:color w:val="auto"/>
              </w:rPr>
            </w:pPr>
            <w:r>
              <w:rPr>
                <w:rFonts w:ascii="Arial" w:cs="Arial" w:eastAsia="Arial" w:hAnsi="Arial"/>
                <w:sz w:val="16"/>
                <w:szCs w:val="16"/>
                <w:color w:val="auto"/>
                <w:w w:val="92"/>
              </w:rPr>
              <w:t>We present below gross gains and losses from investments and the change in the difference between fair value and cost of investments: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14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56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gridSpan w:val="3"/>
            <w:vMerge w:val="restart"/>
          </w:tcPr>
          <w:p>
            <w:pPr>
              <w:spacing w:after="0"/>
              <w:rPr>
                <w:sz w:val="20"/>
                <w:szCs w:val="20"/>
                <w:color w:val="auto"/>
              </w:rPr>
            </w:pPr>
            <w:r>
              <w:rPr>
                <w:rFonts w:ascii="Arial" w:cs="Arial" w:eastAsia="Arial" w:hAnsi="Arial"/>
                <w:sz w:val="16"/>
                <w:szCs w:val="16"/>
                <w:color w:val="auto"/>
              </w:rPr>
              <w:t>Gross realized gains: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6"/>
                <w:szCs w:val="16"/>
                <w:color w:val="auto"/>
              </w:rPr>
              <w:t>(in</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72"/>
              </w:rPr>
              <w:t>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440" w:type="dxa"/>
            <w:vAlign w:val="bottom"/>
            <w:gridSpan w:val="3"/>
            <w:vMerge w:val="continue"/>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maturities</w:t>
            </w:r>
          </w:p>
        </w:tc>
        <w:tc>
          <w:tcPr>
            <w:tcW w:w="17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295</w:t>
            </w:r>
          </w:p>
        </w:tc>
        <w:tc>
          <w:tcPr>
            <w:tcW w:w="4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Equity securities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Real estate</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realized losses:</w:t>
            </w:r>
          </w:p>
        </w:tc>
        <w:tc>
          <w:tcPr>
            <w:tcW w:w="15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Fixed maturities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realized (losses) gains</w:t>
            </w:r>
          </w:p>
        </w:tc>
        <w:tc>
          <w:tcPr>
            <w:tcW w:w="15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Gross unrealized gains on equity securities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83"/>
              <w:spacing w:after="0"/>
              <w:rPr>
                <w:sz w:val="20"/>
                <w:szCs w:val="20"/>
                <w:color w:val="auto"/>
              </w:rPr>
            </w:pPr>
            <w:r>
              <w:rPr>
                <w:rFonts w:ascii="Arial" w:cs="Arial" w:eastAsia="Arial" w:hAnsi="Arial"/>
                <w:sz w:val="16"/>
                <w:szCs w:val="16"/>
                <w:color w:val="auto"/>
              </w:rPr>
              <w:t>(735)</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unrealized losses on equity securities</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(547)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Fixed maturities - credit impairment charges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83"/>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investment (losses) gains</w:t>
            </w:r>
          </w:p>
        </w:tc>
        <w:tc>
          <w:tcPr>
            <w:tcW w:w="1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held fixed maturities with unrealized losses representing declines that we considered temporary at September 30, 2023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rPr>
              <w:t>Less Than 12 Months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5"/>
          </w:tcPr>
          <w:p>
            <w:pPr>
              <w:ind w:left="380"/>
              <w:spacing w:after="0"/>
              <w:rPr>
                <w:sz w:val="20"/>
                <w:szCs w:val="20"/>
                <w:color w:val="auto"/>
              </w:rPr>
            </w:pPr>
            <w:r>
              <w:rPr>
                <w:rFonts w:ascii="Arial" w:cs="Arial" w:eastAsia="Arial" w:hAnsi="Arial"/>
                <w:sz w:val="16"/>
                <w:szCs w:val="16"/>
                <w:b w:val="1"/>
                <w:bCs w:val="1"/>
                <w:color w:val="auto"/>
              </w:rPr>
              <w:t>More Than 12 Months</w:t>
            </w:r>
          </w:p>
        </w:tc>
      </w:tr>
      <w:tr>
        <w:trPr>
          <w:trHeight w:val="202"/>
        </w:trPr>
        <w:tc>
          <w:tcPr>
            <w:tcW w:w="5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Fair Value</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Unrealized Losses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Fair Value</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Unrealized Losses</w:t>
            </w:r>
          </w:p>
        </w:tc>
        <w:tc>
          <w:tcPr>
            <w:tcW w:w="100" w:type="dxa"/>
            <w:vAlign w:val="bottom"/>
          </w:tcPr>
          <w:p>
            <w:pPr>
              <w:spacing w:after="0"/>
              <w:rPr>
                <w:sz w:val="17"/>
                <w:szCs w:val="17"/>
                <w:color w:val="auto"/>
              </w:rPr>
            </w:pPr>
          </w:p>
        </w:tc>
      </w:tr>
      <w:tr>
        <w:trPr>
          <w:trHeight w:val="197"/>
        </w:trPr>
        <w:tc>
          <w:tcPr>
            <w:tcW w:w="5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(in</w:t>
            </w:r>
          </w:p>
        </w:tc>
        <w:tc>
          <w:tcPr>
            <w:tcW w:w="1340" w:type="dxa"/>
            <w:vAlign w:val="bottom"/>
            <w:gridSpan w:val="4"/>
          </w:tcPr>
          <w:p>
            <w:pPr>
              <w:jc w:val="right"/>
              <w:ind w:right="678"/>
              <w:spacing w:after="0"/>
              <w:rPr>
                <w:sz w:val="20"/>
                <w:szCs w:val="20"/>
                <w:color w:val="auto"/>
              </w:rPr>
            </w:pPr>
            <w:r>
              <w:rPr>
                <w:rFonts w:ascii="Arial" w:cs="Arial" w:eastAsia="Arial" w:hAnsi="Arial"/>
                <w:sz w:val="16"/>
                <w:szCs w:val="16"/>
                <w:color w:val="auto"/>
                <w:w w:val="70"/>
              </w:rPr>
              <w:t>thousands)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w w:val="96"/>
              </w:rPr>
              <w:t>U.S. Treasury securities and obligations of U.S. government corporations and</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agencies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109,693</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18,182</w:t>
            </w:r>
          </w:p>
        </w:tc>
      </w:tr>
      <w:tr>
        <w:trPr>
          <w:trHeight w:val="197"/>
        </w:trPr>
        <w:tc>
          <w:tcPr>
            <w:tcW w:w="5340" w:type="dxa"/>
            <w:vAlign w:val="bottom"/>
          </w:tcPr>
          <w:p>
            <w:pPr>
              <w:spacing w:after="0"/>
              <w:rPr>
                <w:sz w:val="20"/>
                <w:szCs w:val="20"/>
                <w:color w:val="auto"/>
              </w:rPr>
            </w:pPr>
            <w:r>
              <w:rPr>
                <w:rFonts w:ascii="Arial" w:cs="Arial" w:eastAsia="Arial" w:hAnsi="Arial"/>
                <w:sz w:val="16"/>
                <w:szCs w:val="16"/>
                <w:color w:val="auto"/>
              </w:rPr>
              <w:t>Obligations of states and political subdivisions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38,870</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281,436</w:t>
            </w:r>
          </w:p>
        </w:tc>
        <w:tc>
          <w:tcPr>
            <w:tcW w:w="4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79,938</w:t>
            </w:r>
          </w:p>
        </w:tc>
      </w:tr>
      <w:tr>
        <w:trPr>
          <w:trHeight w:val="197"/>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338,829</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41,259</w:t>
            </w:r>
          </w:p>
        </w:tc>
      </w:tr>
      <w:tr>
        <w:trPr>
          <w:trHeight w:val="202"/>
        </w:trPr>
        <w:tc>
          <w:tcPr>
            <w:tcW w:w="53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89,676</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175,269</w:t>
            </w:r>
          </w:p>
        </w:tc>
        <w:tc>
          <w:tcPr>
            <w:tcW w:w="4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27,326</w:t>
            </w:r>
          </w:p>
        </w:tc>
      </w:tr>
      <w:tr>
        <w:trPr>
          <w:trHeight w:val="237"/>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213,329</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905,227</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166,705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08"/>
        </w:trPr>
        <w:tc>
          <w:tcPr>
            <w:tcW w:w="5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5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gridSpan w:val="2"/>
          </w:tcPr>
          <w:p>
            <w:pPr>
              <w:spacing w:after="0"/>
              <w:rPr>
                <w:sz w:val="20"/>
                <w:szCs w:val="20"/>
                <w:color w:val="auto"/>
              </w:rPr>
            </w:pPr>
            <w:r>
              <w:rPr>
                <w:rFonts w:ascii="Arial" w:cs="Arial" w:eastAsia="Arial" w:hAnsi="Arial"/>
                <w:sz w:val="13"/>
                <w:szCs w:val="13"/>
                <w:i w:val="1"/>
                <w:iCs w:val="1"/>
                <w:color w:val="0000EE"/>
              </w:rPr>
              <w:t>Index</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9"/>
        </w:trPr>
        <w:tc>
          <w:tcPr>
            <w:tcW w:w="300" w:type="dxa"/>
            <w:vAlign w:val="bottom"/>
            <w:tcBorders>
              <w:top w:val="single" w:sz="8" w:color="0000EE"/>
            </w:tcBorders>
          </w:tcPr>
          <w:p>
            <w:pPr>
              <w:spacing w:after="0"/>
              <w:rPr>
                <w:sz w:val="24"/>
                <w:szCs w:val="24"/>
                <w:color w:val="auto"/>
              </w:rPr>
            </w:pPr>
          </w:p>
        </w:tc>
        <w:tc>
          <w:tcPr>
            <w:tcW w:w="9580" w:type="dxa"/>
            <w:vAlign w:val="bottom"/>
            <w:gridSpan w:val="12"/>
          </w:tcPr>
          <w:p>
            <w:pPr>
              <w:ind w:left="100"/>
              <w:spacing w:after="0"/>
              <w:rPr>
                <w:sz w:val="20"/>
                <w:szCs w:val="20"/>
                <w:color w:val="auto"/>
              </w:rPr>
            </w:pPr>
            <w:r>
              <w:rPr>
                <w:rFonts w:ascii="Arial" w:cs="Arial" w:eastAsia="Arial" w:hAnsi="Arial"/>
                <w:sz w:val="16"/>
                <w:szCs w:val="16"/>
                <w:color w:val="auto"/>
              </w:rPr>
              <w:t>We held fixed maturities with unrealized losses representing declines that we considered temporary at December 31, 2022 as follows:</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w w:val="94"/>
              </w:rPr>
              <w:t>Less Than 12 Months</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More Than 12 Months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Unrealized Losses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Unrealized Losses</w:t>
            </w:r>
          </w:p>
        </w:tc>
        <w:tc>
          <w:tcPr>
            <w:tcW w:w="10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ind w:right="78"/>
              <w:spacing w:after="0"/>
              <w:rPr>
                <w:sz w:val="20"/>
                <w:szCs w:val="20"/>
                <w:color w:val="auto"/>
              </w:rPr>
            </w:pPr>
            <w:r>
              <w:rPr>
                <w:rFonts w:ascii="Arial" w:cs="Arial" w:eastAsia="Arial" w:hAnsi="Arial"/>
                <w:sz w:val="16"/>
                <w:szCs w:val="16"/>
                <w:color w:val="auto"/>
              </w:rPr>
              <w:t>(in</w:t>
            </w:r>
          </w:p>
        </w:tc>
        <w:tc>
          <w:tcPr>
            <w:tcW w:w="1340" w:type="dxa"/>
            <w:vAlign w:val="bottom"/>
            <w:gridSpan w:val="4"/>
          </w:tcPr>
          <w:p>
            <w:pPr>
              <w:jc w:val="right"/>
              <w:ind w:right="678"/>
              <w:spacing w:after="0"/>
              <w:rPr>
                <w:sz w:val="20"/>
                <w:szCs w:val="20"/>
                <w:color w:val="auto"/>
              </w:rPr>
            </w:pPr>
            <w:r>
              <w:rPr>
                <w:rFonts w:ascii="Arial" w:cs="Arial" w:eastAsia="Arial" w:hAnsi="Arial"/>
                <w:sz w:val="16"/>
                <w:szCs w:val="16"/>
                <w:color w:val="auto"/>
                <w:w w:val="70"/>
              </w:rPr>
              <w:t>thousands)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U.S. Treasury securities and obligations of U.S. government corporations and</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agencies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47,238</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10,364</w:t>
            </w:r>
          </w:p>
        </w:tc>
      </w:tr>
      <w:tr>
        <w:trPr>
          <w:trHeight w:val="197"/>
        </w:trPr>
        <w:tc>
          <w:tcPr>
            <w:tcW w:w="5420" w:type="dxa"/>
            <w:vAlign w:val="bottom"/>
            <w:gridSpan w:val="2"/>
          </w:tcPr>
          <w:p>
            <w:pPr>
              <w:spacing w:after="0"/>
              <w:rPr>
                <w:sz w:val="20"/>
                <w:szCs w:val="20"/>
                <w:color w:val="auto"/>
              </w:rPr>
            </w:pPr>
            <w:r>
              <w:rPr>
                <w:rFonts w:ascii="Arial" w:cs="Arial" w:eastAsia="Arial" w:hAnsi="Arial"/>
                <w:sz w:val="16"/>
                <w:szCs w:val="16"/>
                <w:color w:val="auto"/>
              </w:rPr>
              <w:t>Obligations of states and political subdivisions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261,465</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6"/>
                <w:szCs w:val="16"/>
                <w:color w:val="auto"/>
                <w:w w:val="93"/>
              </w:rPr>
              <w:t>49,327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47,945</w:t>
            </w:r>
          </w:p>
        </w:tc>
        <w:tc>
          <w:tcPr>
            <w:tcW w:w="7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16,493</w:t>
            </w:r>
          </w:p>
        </w:tc>
      </w:tr>
      <w:tr>
        <w:trPr>
          <w:trHeight w:val="197"/>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298,706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w w:val="93"/>
              </w:rPr>
              <w:t>22,272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72,959</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13,449</w:t>
            </w:r>
          </w:p>
        </w:tc>
      </w:tr>
      <w:tr>
        <w:trPr>
          <w:trHeight w:val="202"/>
        </w:trPr>
        <w:tc>
          <w:tcPr>
            <w:tcW w:w="5420" w:type="dxa"/>
            <w:vAlign w:val="bottom"/>
            <w:gridSpan w:val="2"/>
          </w:tcPr>
          <w:p>
            <w:pPr>
              <w:spacing w:after="0"/>
              <w:rPr>
                <w:sz w:val="20"/>
                <w:szCs w:val="20"/>
                <w:color w:val="auto"/>
              </w:rPr>
            </w:pPr>
            <w:r>
              <w:rPr>
                <w:rFonts w:ascii="Arial" w:cs="Arial" w:eastAsia="Arial" w:hAnsi="Arial"/>
                <w:sz w:val="16"/>
                <w:szCs w:val="16"/>
                <w:color w:val="auto"/>
              </w:rPr>
              <w:t>Mortgage-backed securities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143,886</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6"/>
                <w:szCs w:val="16"/>
                <w:color w:val="auto"/>
                <w:w w:val="93"/>
              </w:rPr>
              <w:t>10,941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69,879</w:t>
            </w:r>
          </w:p>
        </w:tc>
        <w:tc>
          <w:tcPr>
            <w:tcW w:w="7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12,459</w:t>
            </w:r>
          </w:p>
        </w:tc>
      </w:tr>
      <w:tr>
        <w:trPr>
          <w:trHeight w:val="237"/>
        </w:trPr>
        <w:tc>
          <w:tcPr>
            <w:tcW w:w="5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Totals</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794,302</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87,867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238,021</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52,765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5" w:lineRule="exact"/>
        <w:rPr>
          <w:sz w:val="20"/>
          <w:szCs w:val="20"/>
          <w:color w:val="auto"/>
        </w:rPr>
      </w:pPr>
    </w:p>
    <w:p>
      <w:pPr>
        <w:ind w:right="20" w:firstLine="444"/>
        <w:spacing w:after="0" w:line="277" w:lineRule="auto"/>
        <w:rPr>
          <w:sz w:val="20"/>
          <w:szCs w:val="20"/>
          <w:color w:val="auto"/>
        </w:rPr>
      </w:pPr>
      <w:r>
        <w:rPr>
          <w:rFonts w:ascii="Arial" w:cs="Arial" w:eastAsia="Arial" w:hAnsi="Arial"/>
          <w:sz w:val="15"/>
          <w:szCs w:val="15"/>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931 debt securities that were in an unrealized loss position at September 30, 2023. Based upon our analysis of general market conditions and underlying factors impacting these debt securities, we considered these declines in value to be temporary.</w:t>
      </w:r>
    </w:p>
    <w:p>
      <w:pPr>
        <w:spacing w:after="0" w:line="167" w:lineRule="exact"/>
        <w:rPr>
          <w:sz w:val="20"/>
          <w:szCs w:val="20"/>
          <w:color w:val="auto"/>
        </w:rPr>
      </w:pPr>
    </w:p>
    <w:p>
      <w:pPr>
        <w:ind w:right="460" w:firstLine="403"/>
        <w:spacing w:after="0" w:line="289" w:lineRule="auto"/>
        <w:rPr>
          <w:sz w:val="20"/>
          <w:szCs w:val="20"/>
          <w:color w:val="auto"/>
        </w:rPr>
      </w:pPr>
      <w:r>
        <w:rPr>
          <w:rFonts w:ascii="Arial" w:cs="Arial" w:eastAsia="Arial" w:hAnsi="Arial"/>
          <w:sz w:val="16"/>
          <w:szCs w:val="16"/>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amortize premiums and discounts on mortgage-backed debt securities using anticipated prepayments.</w:t>
      </w: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6 -</w:t>
      </w:r>
      <w:r>
        <w:rPr>
          <w:sz w:val="20"/>
          <w:szCs w:val="20"/>
          <w:color w:val="auto"/>
        </w:rPr>
        <w:tab/>
      </w:r>
      <w:r>
        <w:rPr>
          <w:rFonts w:ascii="Arial" w:cs="Arial" w:eastAsia="Arial" w:hAnsi="Arial"/>
          <w:sz w:val="14"/>
          <w:szCs w:val="14"/>
          <w:b w:val="1"/>
          <w:bCs w:val="1"/>
          <w:color w:val="auto"/>
        </w:rPr>
        <w:t>Segment Information</w:t>
      </w:r>
    </w:p>
    <w:p>
      <w:pPr>
        <w:spacing w:after="0" w:line="215" w:lineRule="exact"/>
        <w:rPr>
          <w:sz w:val="20"/>
          <w:szCs w:val="20"/>
          <w:color w:val="auto"/>
        </w:rPr>
      </w:pPr>
    </w:p>
    <w:p>
      <w:pPr>
        <w:ind w:right="100" w:firstLine="403"/>
        <w:spacing w:after="0" w:line="317" w:lineRule="auto"/>
        <w:rPr>
          <w:sz w:val="20"/>
          <w:szCs w:val="20"/>
          <w:color w:val="auto"/>
        </w:rPr>
      </w:pPr>
      <w:r>
        <w:rPr>
          <w:rFonts w:ascii="Arial" w:cs="Arial" w:eastAsia="Arial" w:hAnsi="Arial"/>
          <w:sz w:val="14"/>
          <w:szCs w:val="14"/>
          <w:color w:val="auto"/>
        </w:rPr>
        <w:t>We evaluate the performance of our personal lines and commercial lines segments based upon the underwriting results of our insurance subsidiaries using statutory accounting principles (“SAP”) that various state insurance departments prescribe or permit. Our management uses SAP to measure the performance of our insurance subsidiaries instead of United States generally accepted accounting principles (“GAAP”). SAP financial measures are considered non-GAAP financial measures under applicable SEC rules because they include or exclude certain items that the most comparable GAAP financial measures do not ordinarily include or exclude.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804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6"/>
                <w:szCs w:val="16"/>
                <w:color w:val="auto"/>
                <w:w w:val="99"/>
              </w:rPr>
              <w:t>Financial data by segment for the three and nine months ended September 30, 2023 and 2022 is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200" w:type="dxa"/>
            <w:vAlign w:val="bottom"/>
            <w:gridSpan w:val="8"/>
          </w:tcPr>
          <w:p>
            <w:pPr>
              <w:ind w:left="580"/>
              <w:spacing w:after="0"/>
              <w:rPr>
                <w:sz w:val="20"/>
                <w:szCs w:val="20"/>
                <w:color w:val="auto"/>
              </w:rPr>
            </w:pPr>
            <w:r>
              <w:rPr>
                <w:rFonts w:ascii="Arial" w:cs="Arial" w:eastAsia="Arial" w:hAnsi="Arial"/>
                <w:sz w:val="16"/>
                <w:szCs w:val="16"/>
                <w:b w:val="1"/>
                <w:bCs w:val="1"/>
                <w:color w:val="auto"/>
                <w:w w:val="95"/>
              </w:rPr>
              <w:t>Three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gridSpan w:val="3"/>
            <w:vMerge w:val="restart"/>
          </w:tcPr>
          <w:p>
            <w:pPr>
              <w:spacing w:after="0"/>
              <w:rPr>
                <w:sz w:val="20"/>
                <w:szCs w:val="20"/>
                <w:color w:val="auto"/>
              </w:rPr>
            </w:pPr>
            <w:r>
              <w:rPr>
                <w:rFonts w:ascii="Arial" w:cs="Arial" w:eastAsia="Arial" w:hAnsi="Arial"/>
                <w:sz w:val="16"/>
                <w:szCs w:val="16"/>
                <w:color w:val="auto"/>
              </w:rPr>
              <w:t>Revenues: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78"/>
              <w:spacing w:after="0"/>
              <w:rPr>
                <w:sz w:val="20"/>
                <w:szCs w:val="20"/>
                <w:color w:val="auto"/>
              </w:rPr>
            </w:pPr>
            <w:r>
              <w:rPr>
                <w:rFonts w:ascii="Arial" w:cs="Arial" w:eastAsia="Arial" w:hAnsi="Arial"/>
                <w:sz w:val="16"/>
                <w:szCs w:val="16"/>
                <w:color w:val="auto"/>
              </w:rPr>
              <w:t>(in</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w w:val="70"/>
              </w:rPr>
              <w:t>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6"/>
                <w:szCs w:val="16"/>
                <w:color w:val="auto"/>
              </w:rPr>
              <w:t>Premiums earned: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135,432</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Personal lines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88,961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78,625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GAAP premiums earned</w:t>
            </w:r>
          </w:p>
        </w:tc>
        <w:tc>
          <w:tcPr>
            <w:tcW w:w="5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gridSpan w:val="2"/>
          </w:tcPr>
          <w:p>
            <w:pPr>
              <w:ind w:left="120"/>
              <w:spacing w:after="0"/>
              <w:rPr>
                <w:sz w:val="20"/>
                <w:szCs w:val="20"/>
                <w:color w:val="auto"/>
              </w:rPr>
            </w:pPr>
            <w:r>
              <w:rPr>
                <w:rFonts w:ascii="Arial" w:cs="Arial" w:eastAsia="Arial" w:hAnsi="Arial"/>
                <w:sz w:val="16"/>
                <w:szCs w:val="16"/>
                <w:color w:val="auto"/>
              </w:rPr>
              <w:t>Net investment income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10,536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8,569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losses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233,928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212,838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Arial" w:cs="Arial" w:eastAsia="Arial" w:hAnsi="Arial"/>
                <w:sz w:val="16"/>
                <w:szCs w:val="16"/>
                <w:color w:val="auto"/>
              </w:rPr>
              <w:t>Loss before income tax benefit: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Underwriting gain (loss):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Commercial lines</w:t>
            </w: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9,957</w:t>
            </w:r>
          </w:p>
        </w:tc>
        <w:tc>
          <w:tcPr>
            <w:tcW w:w="140" w:type="dxa"/>
            <w:vAlign w:val="bottom"/>
          </w:tcPr>
          <w:p>
            <w:pPr>
              <w:spacing w:after="0"/>
              <w:rPr>
                <w:sz w:val="17"/>
                <w:szCs w:val="17"/>
                <w:color w:val="auto"/>
              </w:rPr>
            </w:pPr>
          </w:p>
        </w:tc>
        <w:tc>
          <w:tcPr>
            <w:tcW w:w="480" w:type="dxa"/>
            <w:vAlign w:val="bottom"/>
            <w:gridSpan w:val="2"/>
          </w:tcPr>
          <w:p>
            <w:pPr>
              <w:jc w:val="right"/>
              <w:ind w:right="223"/>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(9,126)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SAP underwriting loss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(21,226)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GAAP adjustments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GAAP underwriting loss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(10,177)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(19,796)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investment income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10,536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gridSpan w:val="2"/>
          </w:tcPr>
          <w:p>
            <w:pPr>
              <w:ind w:left="120"/>
              <w:spacing w:after="0"/>
              <w:rPr>
                <w:sz w:val="20"/>
                <w:szCs w:val="20"/>
                <w:color w:val="auto"/>
              </w:rPr>
            </w:pPr>
            <w:r>
              <w:rPr>
                <w:rFonts w:ascii="Arial" w:cs="Arial" w:eastAsia="Arial" w:hAnsi="Arial"/>
                <w:sz w:val="16"/>
                <w:szCs w:val="16"/>
                <w:color w:val="auto"/>
              </w:rPr>
              <w:t>Investment losses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6"/>
                <w:szCs w:val="16"/>
                <w:color w:val="auto"/>
              </w:rPr>
              <w:t>Loss before income tax benefit</w:t>
            </w:r>
          </w:p>
        </w:tc>
        <w:tc>
          <w:tcPr>
            <w:tcW w:w="5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(1,005)</w:t>
            </w:r>
          </w:p>
        </w:tc>
        <w:tc>
          <w:tcPr>
            <w:tcW w:w="480" w:type="dxa"/>
            <w:vAlign w:val="bottom"/>
            <w:gridSpan w:val="2"/>
          </w:tcPr>
          <w:p>
            <w:pPr>
              <w:jc w:val="right"/>
              <w:ind w:right="223"/>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(13,369)</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jc w:val="right"/>
              <w:ind w:right="2278"/>
              <w:spacing w:after="0"/>
              <w:rPr>
                <w:sz w:val="20"/>
                <w:szCs w:val="20"/>
                <w:color w:val="auto"/>
              </w:rPr>
            </w:pPr>
            <w:r>
              <w:rPr>
                <w:rFonts w:ascii="Arial" w:cs="Arial" w:eastAsia="Arial" w:hAnsi="Arial"/>
                <w:sz w:val="13"/>
                <w:szCs w:val="13"/>
                <w:color w:val="auto"/>
              </w:rPr>
              <w:t>15</w:t>
            </w: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0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gridSpan w:val="2"/>
          </w:tcPr>
          <w:p>
            <w:pPr>
              <w:spacing w:after="0"/>
              <w:rPr>
                <w:sz w:val="20"/>
                <w:szCs w:val="20"/>
                <w:color w:val="auto"/>
              </w:rPr>
            </w:pPr>
            <w:r>
              <w:rPr>
                <w:rFonts w:ascii="Arial" w:cs="Arial" w:eastAsia="Arial" w:hAnsi="Arial"/>
                <w:sz w:val="13"/>
                <w:szCs w:val="13"/>
                <w:i w:val="1"/>
                <w:iCs w:val="1"/>
                <w:color w:val="0000EE"/>
                <w:w w:val="87"/>
              </w:rPr>
              <w:t>Index</w:t>
            </w:r>
          </w:p>
        </w:tc>
        <w:tc>
          <w:tcPr>
            <w:tcW w:w="5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6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gridSpan w:val="3"/>
            <w:vMerge w:val="restart"/>
          </w:tcPr>
          <w:p>
            <w:pPr>
              <w:spacing w:after="0"/>
              <w:rPr>
                <w:sz w:val="20"/>
                <w:szCs w:val="20"/>
                <w:color w:val="auto"/>
              </w:rPr>
            </w:pPr>
            <w:r>
              <w:rPr>
                <w:rFonts w:ascii="Arial" w:cs="Arial" w:eastAsia="Arial" w:hAnsi="Arial"/>
                <w:sz w:val="16"/>
                <w:szCs w:val="16"/>
                <w:color w:val="auto"/>
              </w:rPr>
              <w:t>Revenues: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20" w:type="dxa"/>
            <w:vAlign w:val="bottom"/>
            <w:gridSpan w:val="3"/>
            <w:vMerge w:val="continue"/>
          </w:tcPr>
          <w:p>
            <w:pPr>
              <w:spacing w:after="0"/>
              <w:rPr>
                <w:sz w:val="15"/>
                <w:szCs w:val="15"/>
                <w:color w:val="auto"/>
              </w:rPr>
            </w:pPr>
          </w:p>
        </w:tc>
        <w:tc>
          <w:tcPr>
            <w:tcW w:w="2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6"/>
                <w:szCs w:val="16"/>
                <w:color w:val="auto"/>
              </w:rPr>
              <w:t>Premiums earned:</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399,427</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Personal lines</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256,459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230,819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GAAP premiums earned</w:t>
            </w:r>
          </w:p>
        </w:tc>
        <w:tc>
          <w:tcPr>
            <w:tcW w:w="2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655,886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gridSpan w:val="2"/>
          </w:tcPr>
          <w:p>
            <w:pPr>
              <w:ind w:left="120"/>
              <w:spacing w:after="0"/>
              <w:rPr>
                <w:sz w:val="20"/>
                <w:szCs w:val="20"/>
                <w:color w:val="auto"/>
              </w:rPr>
            </w:pPr>
            <w:r>
              <w:rPr>
                <w:rFonts w:ascii="Arial" w:cs="Arial" w:eastAsia="Arial" w:hAnsi="Arial"/>
                <w:sz w:val="16"/>
                <w:szCs w:val="16"/>
                <w:color w:val="auto"/>
              </w:rPr>
              <w:t>Net investment income</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30,143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gains (losses)</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930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687,870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624,776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Income (loss) before income tax expense (benefit):</w:t>
            </w:r>
          </w:p>
        </w:tc>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Underwriting loss:</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Commercial lines</w:t>
            </w:r>
          </w:p>
        </w:tc>
        <w:tc>
          <w:tcPr>
            <w:tcW w:w="2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(4,024)</w:t>
            </w:r>
          </w:p>
        </w:tc>
        <w:tc>
          <w:tcPr>
            <w:tcW w:w="460" w:type="dxa"/>
            <w:vAlign w:val="bottom"/>
            <w:gridSpan w:val="2"/>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(16,873)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(24,950)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(12,654)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auto"/>
              </w:rPr>
              <w:t>SAP underwriting loss</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(28,974)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(29,527)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GAAP adjustments</w:t>
            </w:r>
          </w:p>
        </w:tc>
        <w:tc>
          <w:tcPr>
            <w:tcW w:w="2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auto"/>
              </w:rPr>
              <w:t>GAAP underwriting loss</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(23,006)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(21,543)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investment income</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30,143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gridSpan w:val="2"/>
          </w:tcPr>
          <w:p>
            <w:pPr>
              <w:ind w:left="120"/>
              <w:spacing w:after="0"/>
              <w:rPr>
                <w:sz w:val="20"/>
                <w:szCs w:val="20"/>
                <w:color w:val="auto"/>
              </w:rPr>
            </w:pPr>
            <w:r>
              <w:rPr>
                <w:rFonts w:ascii="Arial" w:cs="Arial" w:eastAsia="Arial" w:hAnsi="Arial"/>
                <w:sz w:val="16"/>
                <w:szCs w:val="16"/>
                <w:color w:val="auto"/>
              </w:rPr>
              <w:t>Investment gains (losses)</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8"/>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(10,811)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(522)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Income (loss) before income tax expense (benefit)</w:t>
            </w:r>
          </w:p>
        </w:tc>
        <w:tc>
          <w:tcPr>
            <w:tcW w:w="2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7,545</w:t>
            </w:r>
          </w:p>
        </w:tc>
        <w:tc>
          <w:tcPr>
            <w:tcW w:w="140" w:type="dxa"/>
            <w:vAlign w:val="bottom"/>
          </w:tcPr>
          <w:p>
            <w:pPr>
              <w:spacing w:after="0"/>
              <w:rPr>
                <w:sz w:val="17"/>
                <w:szCs w:val="17"/>
                <w:color w:val="auto"/>
              </w:rPr>
            </w:pPr>
          </w:p>
        </w:tc>
        <w:tc>
          <w:tcPr>
            <w:tcW w:w="460" w:type="dxa"/>
            <w:vAlign w:val="bottom"/>
            <w:gridSpan w:val="2"/>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(7,722)</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7 -</w:t>
            </w:r>
          </w:p>
        </w:tc>
        <w:tc>
          <w:tcPr>
            <w:tcW w:w="57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Borrowings</w:t>
            </w:r>
          </w:p>
        </w:tc>
        <w:tc>
          <w:tcPr>
            <w:tcW w:w="2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00" w:type="dxa"/>
            <w:vAlign w:val="bottom"/>
            <w:gridSpan w:val="2"/>
            <w:vMerge w:val="continue"/>
          </w:tcPr>
          <w:p>
            <w:pPr>
              <w:spacing w:after="0"/>
              <w:rPr>
                <w:sz w:val="24"/>
                <w:szCs w:val="24"/>
                <w:color w:val="auto"/>
              </w:rPr>
            </w:pPr>
          </w:p>
        </w:tc>
        <w:tc>
          <w:tcPr>
            <w:tcW w:w="572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020" w:type="dxa"/>
            <w:vAlign w:val="bottom"/>
            <w:gridSpan w:val="3"/>
          </w:tcPr>
          <w:p>
            <w:pPr>
              <w:spacing w:after="0"/>
              <w:rPr>
                <w:sz w:val="20"/>
                <w:szCs w:val="20"/>
                <w:color w:val="auto"/>
              </w:rPr>
            </w:pPr>
            <w:r>
              <w:rPr>
                <w:rFonts w:ascii="Arial" w:cs="Arial" w:eastAsia="Arial" w:hAnsi="Arial"/>
                <w:sz w:val="16"/>
                <w:szCs w:val="16"/>
                <w:b w:val="1"/>
                <w:bCs w:val="1"/>
                <w:color w:val="auto"/>
              </w:rPr>
              <w:t>Lines of Credit</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40" w:firstLine="403"/>
        <w:spacing w:after="0" w:line="273" w:lineRule="auto"/>
        <w:rPr>
          <w:sz w:val="20"/>
          <w:szCs w:val="20"/>
          <w:color w:val="auto"/>
        </w:rPr>
      </w:pPr>
      <w:r>
        <w:rPr>
          <w:rFonts w:ascii="Arial" w:cs="Arial" w:eastAsia="Arial" w:hAnsi="Arial"/>
          <w:sz w:val="16"/>
          <w:szCs w:val="16"/>
          <w:color w:val="auto"/>
        </w:rPr>
        <w:t>In August 2020, we entered into a credit agreement with Manufacturers and Traders Trust Company (“M&amp;T”) that related to a $20.0 million unsecured demand line of credit. The line of credit has no expiration date, no annual fees and no covenants. At September 30, 2023, we had no outstanding borrowings from M&amp;T and had the ability to borrow up to $20.0 million at an interest rate equal to the then-current Term SOFR rate plus 2.11%.</w:t>
      </w:r>
    </w:p>
    <w:p>
      <w:pPr>
        <w:spacing w:after="0" w:line="162" w:lineRule="exact"/>
        <w:rPr>
          <w:sz w:val="20"/>
          <w:szCs w:val="20"/>
          <w:color w:val="auto"/>
        </w:rPr>
      </w:pPr>
    </w:p>
    <w:p>
      <w:pPr>
        <w:ind w:firstLine="403"/>
        <w:spacing w:after="0" w:line="268" w:lineRule="auto"/>
        <w:rPr>
          <w:sz w:val="20"/>
          <w:szCs w:val="20"/>
          <w:color w:val="auto"/>
        </w:rPr>
      </w:pPr>
      <w:r>
        <w:rPr>
          <w:rFonts w:ascii="Arial" w:cs="Arial" w:eastAsia="Arial" w:hAnsi="Arial"/>
          <w:sz w:val="16"/>
          <w:szCs w:val="16"/>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September 30, 2023. The cash advance carries a fixed interest rate of 1.74% and is due in August 2024. The table below presents the amount of FHLB of Pittsburgh stock Atlantic States purchased, collateral pledged and assets related to Atlantic States’ membership in the FHLB of Pittsburgh at September 30,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FHLB of Pittsburgh stock purchased and owned</w:t>
            </w:r>
          </w:p>
        </w:tc>
        <w:tc>
          <w:tcPr>
            <w:tcW w:w="548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1,591,800</w:t>
            </w:r>
          </w:p>
        </w:tc>
      </w:tr>
      <w:tr>
        <w:trPr>
          <w:trHeight w:val="197"/>
        </w:trPr>
        <w:tc>
          <w:tcPr>
            <w:tcW w:w="4580" w:type="dxa"/>
            <w:vAlign w:val="bottom"/>
          </w:tcPr>
          <w:p>
            <w:pPr>
              <w:spacing w:after="0"/>
              <w:rPr>
                <w:sz w:val="20"/>
                <w:szCs w:val="20"/>
                <w:color w:val="auto"/>
              </w:rPr>
            </w:pPr>
            <w:r>
              <w:rPr>
                <w:rFonts w:ascii="Arial" w:cs="Arial" w:eastAsia="Arial" w:hAnsi="Arial"/>
                <w:sz w:val="16"/>
                <w:szCs w:val="16"/>
                <w:color w:val="auto"/>
              </w:rPr>
              <w:t>Collateral pledged, at par (carrying value $42,167,218)</w:t>
            </w:r>
          </w:p>
        </w:tc>
        <w:tc>
          <w:tcPr>
            <w:tcW w:w="5480" w:type="dxa"/>
            <w:vAlign w:val="bottom"/>
          </w:tcPr>
          <w:p>
            <w:pPr>
              <w:spacing w:after="0"/>
              <w:rPr>
                <w:sz w:val="17"/>
                <w:szCs w:val="17"/>
                <w:color w:val="auto"/>
              </w:rPr>
            </w:pPr>
          </w:p>
        </w:tc>
        <w:tc>
          <w:tcPr>
            <w:tcW w:w="1180" w:type="dxa"/>
            <w:vAlign w:val="bottom"/>
          </w:tcPr>
          <w:p>
            <w:pPr>
              <w:jc w:val="right"/>
              <w:ind w:right="58"/>
              <w:spacing w:after="0"/>
              <w:rPr>
                <w:sz w:val="20"/>
                <w:szCs w:val="20"/>
                <w:color w:val="auto"/>
              </w:rPr>
            </w:pPr>
            <w:r>
              <w:rPr>
                <w:rFonts w:ascii="Arial" w:cs="Arial" w:eastAsia="Arial" w:hAnsi="Arial"/>
                <w:sz w:val="16"/>
                <w:szCs w:val="16"/>
                <w:color w:val="auto"/>
              </w:rPr>
              <w:t>47,017,596</w:t>
            </w:r>
          </w:p>
        </w:tc>
      </w:tr>
      <w:tr>
        <w:trPr>
          <w:trHeight w:val="197"/>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Borrowing capacity currently available</w:t>
            </w:r>
          </w:p>
        </w:tc>
        <w:tc>
          <w:tcPr>
            <w:tcW w:w="5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4,456,902</w:t>
            </w:r>
          </w:p>
        </w:tc>
      </w:tr>
      <w:tr>
        <w:trPr>
          <w:trHeight w:val="519"/>
        </w:trPr>
        <w:tc>
          <w:tcPr>
            <w:tcW w:w="4580" w:type="dxa"/>
            <w:vAlign w:val="bottom"/>
          </w:tcPr>
          <w:p>
            <w:pPr>
              <w:spacing w:after="0"/>
              <w:rPr>
                <w:sz w:val="24"/>
                <w:szCs w:val="24"/>
                <w:color w:val="auto"/>
              </w:rPr>
            </w:pPr>
          </w:p>
        </w:tc>
        <w:tc>
          <w:tcPr>
            <w:tcW w:w="5480" w:type="dxa"/>
            <w:vAlign w:val="bottom"/>
          </w:tcPr>
          <w:p>
            <w:pPr>
              <w:jc w:val="right"/>
              <w:ind w:right="4306"/>
              <w:spacing w:after="0"/>
              <w:rPr>
                <w:sz w:val="20"/>
                <w:szCs w:val="20"/>
                <w:color w:val="auto"/>
              </w:rPr>
            </w:pPr>
            <w:r>
              <w:rPr>
                <w:rFonts w:ascii="Arial" w:cs="Arial" w:eastAsia="Arial" w:hAnsi="Arial"/>
                <w:sz w:val="13"/>
                <w:szCs w:val="13"/>
                <w:color w:val="auto"/>
              </w:rPr>
              <w:t>16</w:t>
            </w:r>
          </w:p>
        </w:tc>
        <w:tc>
          <w:tcPr>
            <w:tcW w:w="1180" w:type="dxa"/>
            <w:vAlign w:val="bottom"/>
          </w:tcPr>
          <w:p>
            <w:pPr>
              <w:spacing w:after="0"/>
              <w:rPr>
                <w:sz w:val="24"/>
                <w:szCs w:val="24"/>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8 -</w:t>
      </w:r>
      <w:r>
        <w:rPr>
          <w:sz w:val="20"/>
          <w:szCs w:val="20"/>
          <w:color w:val="auto"/>
        </w:rPr>
        <w:tab/>
      </w:r>
      <w:r>
        <w:rPr>
          <w:rFonts w:ascii="Arial" w:cs="Arial" w:eastAsia="Arial" w:hAnsi="Arial"/>
          <w:sz w:val="14"/>
          <w:szCs w:val="14"/>
          <w:b w:val="1"/>
          <w:bCs w:val="1"/>
          <w:color w:val="auto"/>
        </w:rPr>
        <w:t>Share–Based Compensation</w:t>
      </w:r>
    </w:p>
    <w:p>
      <w:pPr>
        <w:spacing w:after="0" w:line="215" w:lineRule="exact"/>
        <w:rPr>
          <w:sz w:val="20"/>
          <w:szCs w:val="20"/>
          <w:color w:val="auto"/>
        </w:rPr>
      </w:pPr>
    </w:p>
    <w:p>
      <w:pPr>
        <w:ind w:right="60" w:firstLine="403"/>
        <w:spacing w:after="0" w:line="291" w:lineRule="auto"/>
        <w:rPr>
          <w:sz w:val="20"/>
          <w:szCs w:val="20"/>
          <w:color w:val="auto"/>
        </w:rPr>
      </w:pPr>
      <w:r>
        <w:rPr>
          <w:rFonts w:ascii="Arial" w:cs="Arial" w:eastAsia="Arial" w:hAnsi="Arial"/>
          <w:sz w:val="15"/>
          <w:szCs w:val="15"/>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50" w:lineRule="exact"/>
        <w:rPr>
          <w:sz w:val="20"/>
          <w:szCs w:val="20"/>
          <w:color w:val="auto"/>
        </w:rPr>
      </w:pPr>
    </w:p>
    <w:p>
      <w:pPr>
        <w:ind w:right="140" w:firstLine="403"/>
        <w:spacing w:after="0" w:line="287" w:lineRule="auto"/>
        <w:rPr>
          <w:sz w:val="20"/>
          <w:szCs w:val="20"/>
          <w:color w:val="auto"/>
        </w:rPr>
      </w:pPr>
      <w:r>
        <w:rPr>
          <w:rFonts w:ascii="Arial" w:cs="Arial" w:eastAsia="Arial" w:hAnsi="Arial"/>
          <w:sz w:val="15"/>
          <w:szCs w:val="15"/>
          <w:color w:val="auto"/>
        </w:rPr>
        <w:t>We recorded compensation expense related to our stock compensation plans of $182,185 and $158,966 for the three months ended September 30, 2023 and 2022, respectively, with a corresponding income tax benefit of $38,259 and $33,383, respectively. We recorded compensation expense related to our stock compensation plans of $683,439 and $644,751 for the nine months ended September 30, 2023 and 2022, respectively, with a corresponding income tax benefit of $143,522 and $135,398, respectively. At September 30, 2023, we had $966,925 of unrecognized compensation expense related to nonvested share-based compensation granted under our stock compensation plans that we expect to recognize over a weighted average period of approximately 1.5 years.</w:t>
      </w:r>
    </w:p>
    <w:p>
      <w:pPr>
        <w:spacing w:after="0" w:line="153" w:lineRule="exact"/>
        <w:rPr>
          <w:sz w:val="20"/>
          <w:szCs w:val="20"/>
          <w:color w:val="auto"/>
        </w:rPr>
      </w:pPr>
    </w:p>
    <w:p>
      <w:pPr>
        <w:ind w:right="320" w:firstLine="403"/>
        <w:spacing w:after="0" w:line="265" w:lineRule="auto"/>
        <w:rPr>
          <w:sz w:val="20"/>
          <w:szCs w:val="20"/>
          <w:color w:val="auto"/>
        </w:rPr>
      </w:pPr>
      <w:r>
        <w:rPr>
          <w:rFonts w:ascii="Arial" w:cs="Arial" w:eastAsia="Arial" w:hAnsi="Arial"/>
          <w:sz w:val="16"/>
          <w:szCs w:val="16"/>
          <w:color w:val="auto"/>
        </w:rPr>
        <w:t>We received cash from option exercises under all stock compensation plans during the three months ended September 30, 2023 and 2022 of $ 848,891 and $2.9 million, respectively. We received cash from option exercises under all stock compensation plans during the nine months ended September 30, 2023 and 2022 of $5.5 million and $14.1 million, respectively. We realized actual tax benefits for the tax deductions related to those option exercises of $ 13,501 and $65,030 for the three months ended September 30, 2023 and 2022, respectively. We realized actual tax benefits for the tax deductions related to those option exercises of $126,644 and $329,842 for the nine months ended September 30, 2023 and 2022, respectively.</w:t>
      </w:r>
    </w:p>
    <w:p>
      <w:pPr>
        <w:spacing w:after="0" w:line="165"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9 -</w:t>
      </w:r>
      <w:r>
        <w:rPr>
          <w:sz w:val="20"/>
          <w:szCs w:val="20"/>
          <w:color w:val="auto"/>
        </w:rPr>
        <w:tab/>
      </w:r>
      <w:r>
        <w:rPr>
          <w:rFonts w:ascii="Arial" w:cs="Arial" w:eastAsia="Arial" w:hAnsi="Arial"/>
          <w:sz w:val="15"/>
          <w:szCs w:val="15"/>
          <w:b w:val="1"/>
          <w:bCs w:val="1"/>
          <w:color w:val="auto"/>
        </w:rPr>
        <w:t>Fair Value Measurements</w:t>
      </w:r>
    </w:p>
    <w:p>
      <w:pPr>
        <w:spacing w:after="0" w:line="215" w:lineRule="exact"/>
        <w:rPr>
          <w:sz w:val="20"/>
          <w:szCs w:val="20"/>
          <w:color w:val="auto"/>
        </w:rPr>
      </w:pPr>
    </w:p>
    <w:p>
      <w:pPr>
        <w:ind w:right="420" w:firstLine="403"/>
        <w:spacing w:after="0" w:line="289" w:lineRule="auto"/>
        <w:rPr>
          <w:sz w:val="20"/>
          <w:szCs w:val="20"/>
          <w:color w:val="auto"/>
        </w:rPr>
      </w:pPr>
      <w:r>
        <w:rPr>
          <w:rFonts w:ascii="Arial" w:cs="Arial" w:eastAsia="Arial" w:hAnsi="Arial"/>
          <w:sz w:val="16"/>
          <w:szCs w:val="16"/>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2 – directly or indirectly observable inputs other than Level 1 quoted prices; and</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3 – unobservable inputs not corroborated by market data.</w:t>
      </w:r>
    </w:p>
    <w:p>
      <w:pPr>
        <w:spacing w:after="0" w:line="211" w:lineRule="exact"/>
        <w:rPr>
          <w:sz w:val="20"/>
          <w:szCs w:val="20"/>
          <w:color w:val="auto"/>
        </w:rPr>
      </w:pPr>
    </w:p>
    <w:p>
      <w:pPr>
        <w:ind w:right="160" w:firstLine="403"/>
        <w:spacing w:after="0" w:line="263" w:lineRule="auto"/>
        <w:rPr>
          <w:sz w:val="20"/>
          <w:szCs w:val="20"/>
          <w:color w:val="auto"/>
        </w:rPr>
      </w:pPr>
      <w:r>
        <w:rPr>
          <w:rFonts w:ascii="Arial" w:cs="Arial" w:eastAsia="Arial" w:hAnsi="Arial"/>
          <w:sz w:val="16"/>
          <w:szCs w:val="16"/>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72" w:lineRule="exact"/>
        <w:rPr>
          <w:sz w:val="20"/>
          <w:szCs w:val="20"/>
          <w:color w:val="auto"/>
        </w:rPr>
      </w:pPr>
    </w:p>
    <w:p>
      <w:pPr>
        <w:ind w:firstLine="444"/>
        <w:spacing w:after="0" w:line="277" w:lineRule="auto"/>
        <w:rPr>
          <w:sz w:val="20"/>
          <w:szCs w:val="20"/>
          <w:color w:val="auto"/>
        </w:rPr>
      </w:pPr>
      <w:r>
        <w:rPr>
          <w:rFonts w:ascii="Arial" w:cs="Arial" w:eastAsia="Arial" w:hAnsi="Arial"/>
          <w:sz w:val="15"/>
          <w:szCs w:val="15"/>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September 30, 2023, we received two estimates per security from the pricing services, and we priced substantially all of our Level 1 and Level 2 investments using those prices. In our review of the estimates the pricing services provided at September 30, 2023, we did not identify any material discrepancies, and we did not make any adjustments to the estimates the pricing services provided.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9" w:name="page20"/>
    <w:bookmarkEnd w:id="19"/>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present our cash and short-term investments at estimated fair value. We classify these items as Level 1.</w:t>
      </w:r>
    </w:p>
    <w:p>
      <w:pPr>
        <w:spacing w:after="0" w:line="211" w:lineRule="exact"/>
        <w:rPr>
          <w:sz w:val="20"/>
          <w:szCs w:val="20"/>
          <w:color w:val="auto"/>
        </w:rPr>
      </w:pPr>
    </w:p>
    <w:p>
      <w:pPr>
        <w:jc w:val="both"/>
        <w:ind w:right="460" w:firstLine="403"/>
        <w:spacing w:after="0" w:line="273" w:lineRule="auto"/>
        <w:rPr>
          <w:sz w:val="20"/>
          <w:szCs w:val="20"/>
          <w:color w:val="auto"/>
        </w:rPr>
      </w:pPr>
      <w:r>
        <w:rPr>
          <w:rFonts w:ascii="Arial" w:cs="Arial" w:eastAsia="Arial" w:hAnsi="Arial"/>
          <w:sz w:val="16"/>
          <w:szCs w:val="16"/>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evaluate our assets and liabilities to determine the appropriate level at which to classify them for each reporting period.</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our fair value measurements for our investments in available-for-sale fixed maturity and equity securities at September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Fair Value Measurements Using</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18"/>
              <w:spacing w:after="0" w:line="181" w:lineRule="exact"/>
              <w:rPr>
                <w:sz w:val="20"/>
                <w:szCs w:val="20"/>
                <w:color w:val="auto"/>
              </w:rPr>
            </w:pPr>
            <w:r>
              <w:rPr>
                <w:rFonts w:ascii="Arial" w:cs="Arial" w:eastAsia="Arial" w:hAnsi="Arial"/>
                <w:sz w:val="16"/>
                <w:szCs w:val="16"/>
                <w:b w:val="1"/>
                <w:bCs w:val="1"/>
                <w:color w:val="auto"/>
                <w:w w:val="92"/>
              </w:rPr>
              <w:t>Quoted Prices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2"/>
              </w:rPr>
              <w:t>Significant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18"/>
              <w:spacing w:after="0"/>
              <w:rPr>
                <w:sz w:val="20"/>
                <w:szCs w:val="20"/>
                <w:color w:val="auto"/>
              </w:rPr>
            </w:pPr>
            <w:r>
              <w:rPr>
                <w:rFonts w:ascii="Arial" w:cs="Arial" w:eastAsia="Arial" w:hAnsi="Arial"/>
                <w:sz w:val="16"/>
                <w:szCs w:val="16"/>
                <w:b w:val="1"/>
                <w:bCs w:val="1"/>
                <w:color w:val="auto"/>
                <w:w w:val="97"/>
              </w:rPr>
              <w:t>Active Markets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Significant</w:t>
            </w: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4"/>
              </w:rPr>
              <w:t>for Identical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Observable</w:t>
            </w: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Unobservable</w:t>
            </w:r>
          </w:p>
        </w:tc>
      </w:tr>
      <w:tr>
        <w:trPr>
          <w:trHeight w:val="219"/>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Assets (Level 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Inputs (Level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Inputs (Level 3)</w:t>
            </w:r>
          </w:p>
        </w:tc>
        <w:tc>
          <w:tcPr>
            <w:tcW w:w="100" w:type="dxa"/>
            <w:vAlign w:val="bottom"/>
          </w:tcPr>
          <w:p>
            <w:pPr>
              <w:spacing w:after="0"/>
              <w:rPr>
                <w:sz w:val="19"/>
                <w:szCs w:val="19"/>
                <w:color w:val="auto"/>
              </w:rPr>
            </w:pP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680"/>
              <w:spacing w:after="0"/>
              <w:rPr>
                <w:sz w:val="20"/>
                <w:szCs w:val="20"/>
                <w:color w:val="auto"/>
              </w:rPr>
            </w:pPr>
            <w:r>
              <w:rPr>
                <w:rFonts w:ascii="Arial" w:cs="Arial" w:eastAsia="Arial" w:hAnsi="Arial"/>
                <w:sz w:val="16"/>
                <w:szCs w:val="16"/>
                <w:color w:val="auto"/>
              </w:rPr>
              <w:t>(in</w:t>
            </w:r>
          </w:p>
        </w:tc>
        <w:tc>
          <w:tcPr>
            <w:tcW w:w="1360" w:type="dxa"/>
            <w:vAlign w:val="bottom"/>
            <w:gridSpan w:val="4"/>
          </w:tcPr>
          <w:p>
            <w:pPr>
              <w:jc w:val="center"/>
              <w:ind w:right="718"/>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w w:val="95"/>
              </w:rPr>
              <w:t>U.S. Treasury securities and obligations of U.S. government corporations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82,151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940" w:type="dxa"/>
            <w:vAlign w:val="bottom"/>
          </w:tcPr>
          <w:p>
            <w:pPr>
              <w:spacing w:after="0"/>
              <w:rPr>
                <w:sz w:val="20"/>
                <w:szCs w:val="20"/>
                <w:color w:val="auto"/>
              </w:rPr>
            </w:pPr>
            <w:r>
              <w:rPr>
                <w:rFonts w:ascii="Arial" w:cs="Arial" w:eastAsia="Arial" w:hAnsi="Arial"/>
                <w:sz w:val="16"/>
                <w:szCs w:val="16"/>
                <w:color w:val="auto"/>
              </w:rPr>
              <w:t>Obligations of states and political subdivisions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35,546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9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255,820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255,820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33,472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7"/>
        </w:trPr>
        <w:tc>
          <w:tcPr>
            <w:tcW w:w="5940" w:type="dxa"/>
            <w:vAlign w:val="bottom"/>
          </w:tcPr>
          <w:p>
            <w:pPr>
              <w:ind w:left="140"/>
              <w:spacing w:after="0"/>
              <w:rPr>
                <w:sz w:val="20"/>
                <w:szCs w:val="20"/>
                <w:color w:val="auto"/>
              </w:rPr>
            </w:pPr>
            <w:r>
              <w:rPr>
                <w:rFonts w:ascii="Arial" w:cs="Arial" w:eastAsia="Arial" w:hAnsi="Arial"/>
                <w:sz w:val="16"/>
                <w:szCs w:val="16"/>
                <w:color w:val="auto"/>
              </w:rPr>
              <w:t>Total investments in the fair value hierarchy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602,004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38"/>
              <w:spacing w:after="0"/>
              <w:rPr>
                <w:sz w:val="20"/>
                <w:szCs w:val="20"/>
                <w:color w:val="auto"/>
              </w:rPr>
            </w:pPr>
            <w:r>
              <w:rPr>
                <w:rFonts w:ascii="Arial" w:cs="Arial" w:eastAsia="Arial" w:hAnsi="Arial"/>
                <w:sz w:val="16"/>
                <w:szCs w:val="16"/>
                <w:color w:val="auto"/>
              </w:rPr>
              <w:t>33,472</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568,532</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our fair value measurements for our investments in available-for-sale fixed maturity and equity securities at December 31,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Fair Value Measurements Using</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18"/>
              <w:spacing w:after="0" w:line="181" w:lineRule="exact"/>
              <w:rPr>
                <w:sz w:val="20"/>
                <w:szCs w:val="20"/>
                <w:color w:val="auto"/>
              </w:rPr>
            </w:pPr>
            <w:r>
              <w:rPr>
                <w:rFonts w:ascii="Arial" w:cs="Arial" w:eastAsia="Arial" w:hAnsi="Arial"/>
                <w:sz w:val="16"/>
                <w:szCs w:val="16"/>
                <w:b w:val="1"/>
                <w:bCs w:val="1"/>
                <w:color w:val="auto"/>
                <w:w w:val="92"/>
              </w:rPr>
              <w:t>Quoted Prices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2"/>
              </w:rPr>
              <w:t>Significant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18"/>
              <w:spacing w:after="0"/>
              <w:rPr>
                <w:sz w:val="20"/>
                <w:szCs w:val="20"/>
                <w:color w:val="auto"/>
              </w:rPr>
            </w:pPr>
            <w:r>
              <w:rPr>
                <w:rFonts w:ascii="Arial" w:cs="Arial" w:eastAsia="Arial" w:hAnsi="Arial"/>
                <w:sz w:val="16"/>
                <w:szCs w:val="16"/>
                <w:b w:val="1"/>
                <w:bCs w:val="1"/>
                <w:color w:val="auto"/>
                <w:w w:val="97"/>
              </w:rPr>
              <w:t>Active Markets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94"/>
              </w:rPr>
              <w:t>for Identical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Observable</w:t>
            </w: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Assets (Level 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Inputs (Level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Inputs (Level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680"/>
              <w:spacing w:after="0"/>
              <w:rPr>
                <w:sz w:val="20"/>
                <w:szCs w:val="20"/>
                <w:color w:val="auto"/>
              </w:rPr>
            </w:pPr>
            <w:r>
              <w:rPr>
                <w:rFonts w:ascii="Arial" w:cs="Arial" w:eastAsia="Arial" w:hAnsi="Arial"/>
                <w:sz w:val="16"/>
                <w:szCs w:val="16"/>
                <w:color w:val="auto"/>
              </w:rPr>
              <w:t>(in</w:t>
            </w:r>
          </w:p>
        </w:tc>
        <w:tc>
          <w:tcPr>
            <w:tcW w:w="1360" w:type="dxa"/>
            <w:vAlign w:val="bottom"/>
            <w:gridSpan w:val="4"/>
          </w:tcPr>
          <w:p>
            <w:pPr>
              <w:jc w:val="center"/>
              <w:ind w:right="718"/>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w w:val="95"/>
              </w:rPr>
              <w:t>U.S. Treasury securities and obligations of U.S. government corporations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63,522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63,522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6"/>
                <w:szCs w:val="16"/>
                <w:color w:val="auto"/>
              </w:rPr>
              <w:t>Obligations of states and political subdivisions</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40,156</w:t>
            </w:r>
          </w:p>
        </w:tc>
        <w:tc>
          <w:tcPr>
            <w:tcW w:w="120" w:type="dxa"/>
            <w:vAlign w:val="bottom"/>
          </w:tcPr>
          <w:p>
            <w:pPr>
              <w:spacing w:after="0"/>
              <w:rPr>
                <w:sz w:val="17"/>
                <w:szCs w:val="17"/>
                <w:color w:val="auto"/>
              </w:rPr>
            </w:pPr>
          </w:p>
        </w:tc>
        <w:tc>
          <w:tcPr>
            <w:tcW w:w="116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40,156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Corporate securities</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202,838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217,276</w:t>
            </w:r>
          </w:p>
        </w:tc>
        <w:tc>
          <w:tcPr>
            <w:tcW w:w="120" w:type="dxa"/>
            <w:vAlign w:val="bottom"/>
          </w:tcPr>
          <w:p>
            <w:pPr>
              <w:spacing w:after="0"/>
              <w:rPr>
                <w:sz w:val="17"/>
                <w:szCs w:val="17"/>
                <w:color w:val="auto"/>
              </w:rPr>
            </w:pPr>
          </w:p>
        </w:tc>
        <w:tc>
          <w:tcPr>
            <w:tcW w:w="116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217,276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35,105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32,821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ind w:left="140"/>
              <w:spacing w:after="0"/>
              <w:rPr>
                <w:sz w:val="20"/>
                <w:szCs w:val="20"/>
                <w:color w:val="auto"/>
              </w:rPr>
            </w:pPr>
            <w:r>
              <w:rPr>
                <w:rFonts w:ascii="Arial" w:cs="Arial" w:eastAsia="Arial" w:hAnsi="Arial"/>
                <w:sz w:val="16"/>
                <w:szCs w:val="16"/>
                <w:color w:val="auto"/>
              </w:rPr>
              <w:t>Totals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558,897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38"/>
              <w:spacing w:after="0"/>
              <w:rPr>
                <w:sz w:val="20"/>
                <w:szCs w:val="20"/>
                <w:color w:val="auto"/>
              </w:rPr>
            </w:pPr>
            <w:r>
              <w:rPr>
                <w:rFonts w:ascii="Arial" w:cs="Arial" w:eastAsia="Arial" w:hAnsi="Arial"/>
                <w:sz w:val="16"/>
                <w:szCs w:val="16"/>
                <w:color w:val="auto"/>
              </w:rPr>
              <w:t>32,821</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526,076</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5560"/>
              <w:spacing w:after="0"/>
              <w:rPr>
                <w:sz w:val="20"/>
                <w:szCs w:val="20"/>
                <w:color w:val="auto"/>
              </w:rPr>
            </w:pPr>
            <w:r>
              <w:rPr>
                <w:rFonts w:ascii="Arial" w:cs="Arial" w:eastAsia="Arial" w:hAnsi="Arial"/>
                <w:sz w:val="13"/>
                <w:szCs w:val="13"/>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10 -</w:t>
      </w:r>
      <w:r>
        <w:rPr>
          <w:sz w:val="20"/>
          <w:szCs w:val="20"/>
          <w:color w:val="auto"/>
        </w:rPr>
        <w:tab/>
      </w:r>
      <w:r>
        <w:rPr>
          <w:rFonts w:ascii="Arial" w:cs="Arial" w:eastAsia="Arial" w:hAnsi="Arial"/>
          <w:sz w:val="14"/>
          <w:szCs w:val="14"/>
          <w:b w:val="1"/>
          <w:bCs w:val="1"/>
          <w:color w:val="auto"/>
        </w:rPr>
        <w:t>Income Taxes</w:t>
      </w:r>
    </w:p>
    <w:p>
      <w:pPr>
        <w:spacing w:after="0" w:line="215" w:lineRule="exact"/>
        <w:rPr>
          <w:sz w:val="20"/>
          <w:szCs w:val="20"/>
          <w:color w:val="auto"/>
        </w:rPr>
      </w:pPr>
    </w:p>
    <w:p>
      <w:pPr>
        <w:ind w:right="80" w:firstLine="403"/>
        <w:spacing w:after="0" w:line="263" w:lineRule="auto"/>
        <w:rPr>
          <w:sz w:val="20"/>
          <w:szCs w:val="20"/>
          <w:color w:val="auto"/>
        </w:rPr>
      </w:pPr>
      <w:r>
        <w:rPr>
          <w:rFonts w:ascii="Arial" w:cs="Arial" w:eastAsia="Arial" w:hAnsi="Arial"/>
          <w:sz w:val="16"/>
          <w:szCs w:val="16"/>
          <w:color w:val="auto"/>
        </w:rPr>
        <w:t>At September 30, 2023 and December 31, 2022, respectively, we had no material unrecognized tax benefits or accrued interest and penalties. Tax years 2016 through 2022 remained open for examination at September 30, 2023. We provide a valuation allowance when we believe it is more likely than not that we will not realize some portion of our tax assets. We established a valuation allowance of $8.1 million for our net state operating loss carryforward. We have determined that we are not required to establish a valuation allowance for our other deferred tax assets of $43.4 million and $39.8 million at September 30, 2023 and December 31, 2022, respectively, because it is more likely than not that we will realize these deferred tax assets through reversals of existing temporary differences, future taxable income and the implementation of tax planning strategies.</w:t>
      </w:r>
    </w:p>
    <w:p>
      <w:pPr>
        <w:spacing w:after="0" w:line="16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11 -</w:t>
      </w:r>
      <w:r>
        <w:rPr>
          <w:sz w:val="20"/>
          <w:szCs w:val="20"/>
          <w:color w:val="auto"/>
        </w:rPr>
        <w:tab/>
      </w:r>
      <w:r>
        <w:rPr>
          <w:rFonts w:ascii="Arial" w:cs="Arial" w:eastAsia="Arial" w:hAnsi="Arial"/>
          <w:sz w:val="14"/>
          <w:szCs w:val="14"/>
          <w:b w:val="1"/>
          <w:bCs w:val="1"/>
          <w:color w:val="auto"/>
        </w:rPr>
        <w:t>Liabilities for Losses and Loss Expenses</w:t>
      </w:r>
    </w:p>
    <w:p>
      <w:pPr>
        <w:spacing w:after="0" w:line="215" w:lineRule="exact"/>
        <w:rPr>
          <w:sz w:val="20"/>
          <w:szCs w:val="20"/>
          <w:color w:val="auto"/>
        </w:rPr>
      </w:pPr>
    </w:p>
    <w:p>
      <w:pPr>
        <w:ind w:firstLine="444"/>
        <w:spacing w:after="0" w:line="280" w:lineRule="auto"/>
        <w:rPr>
          <w:sz w:val="20"/>
          <w:szCs w:val="20"/>
          <w:color w:val="auto"/>
        </w:rPr>
      </w:pPr>
      <w:r>
        <w:rPr>
          <w:rFonts w:ascii="Arial" w:cs="Arial" w:eastAsia="Arial" w:hAnsi="Arial"/>
          <w:sz w:val="15"/>
          <w:szCs w:val="15"/>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900" w:type="dxa"/>
            <w:vAlign w:val="bottom"/>
          </w:tcPr>
          <w:p>
            <w:pPr>
              <w:ind w:left="380"/>
              <w:spacing w:after="0"/>
              <w:rPr>
                <w:sz w:val="20"/>
                <w:szCs w:val="20"/>
                <w:color w:val="auto"/>
              </w:rPr>
            </w:pPr>
            <w:r>
              <w:rPr>
                <w:rFonts w:ascii="Arial" w:cs="Arial" w:eastAsia="Arial" w:hAnsi="Arial"/>
                <w:sz w:val="16"/>
                <w:szCs w:val="16"/>
                <w:color w:val="auto"/>
              </w:rPr>
              <w:t>We summarize activity in our insurance subsidiaries’ liabilities for losses and loss expenses as follows: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1"/>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6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02"/>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1,121,046</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1,077,620</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Less reinsurance recoverable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(451,184)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(451,261)</w:t>
            </w:r>
          </w:p>
        </w:tc>
      </w:tr>
      <w:tr>
        <w:trPr>
          <w:trHeight w:val="202"/>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Cumulative effect of adoption of updated accounting guidance for credit losses at January 1</w:t>
            </w: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Net balance at January 1</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670,994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626,359</w:t>
            </w: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Incurred related to:</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Current year</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461,799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445,855</w:t>
            </w: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Prior years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(15,775)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(30,609)</w:t>
            </w:r>
          </w:p>
        </w:tc>
      </w:tr>
      <w:tr>
        <w:trPr>
          <w:trHeight w:val="202"/>
        </w:trPr>
        <w:tc>
          <w:tcPr>
            <w:tcW w:w="20" w:type="dxa"/>
            <w:vAlign w:val="bottom"/>
          </w:tcPr>
          <w:p>
            <w:pPr>
              <w:spacing w:after="0"/>
              <w:rPr>
                <w:sz w:val="17"/>
                <w:szCs w:val="17"/>
                <w:color w:val="auto"/>
              </w:rPr>
            </w:pPr>
          </w:p>
        </w:tc>
        <w:tc>
          <w:tcPr>
            <w:tcW w:w="7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incurred</w:t>
            </w:r>
          </w:p>
        </w:tc>
        <w:tc>
          <w:tcPr>
            <w:tcW w:w="7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446,024</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415,246</w:t>
            </w:r>
          </w:p>
        </w:tc>
        <w:tc>
          <w:tcPr>
            <w:tcW w:w="100" w:type="dxa"/>
            <w:vAlign w:val="bottom"/>
            <w:tcBorders>
              <w:top w:val="single" w:sz="8" w:color="CCEEFF"/>
            </w:tcBorders>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Paid related to:</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Current year</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230,214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209,051</w:t>
            </w:r>
          </w:p>
        </w:tc>
      </w:tr>
      <w:tr>
        <w:trPr>
          <w:trHeight w:val="202"/>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Prior years</w:t>
            </w: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204,842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170,129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Total paid</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435,056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379,180</w:t>
            </w: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balance at end of period</w:t>
            </w:r>
          </w:p>
        </w:tc>
        <w:tc>
          <w:tcPr>
            <w:tcW w:w="7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681,962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662,425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Plus reinsurance recoverable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431,392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445,701</w:t>
            </w:r>
          </w:p>
        </w:tc>
      </w:tr>
      <w:tr>
        <w:trPr>
          <w:trHeight w:val="237"/>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end of period</w:t>
            </w: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1,113,354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1,108,126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08"/>
        </w:trPr>
        <w:tc>
          <w:tcPr>
            <w:tcW w:w="7920" w:type="dxa"/>
            <w:vAlign w:val="bottom"/>
            <w:gridSpan w:val="2"/>
          </w:tcPr>
          <w:p>
            <w:pPr>
              <w:jc w:val="right"/>
              <w:ind w:right="2158"/>
              <w:spacing w:after="0"/>
              <w:rPr>
                <w:sz w:val="20"/>
                <w:szCs w:val="20"/>
                <w:color w:val="auto"/>
              </w:rPr>
            </w:pPr>
            <w:r>
              <w:rPr>
                <w:rFonts w:ascii="Arial" w:cs="Arial" w:eastAsia="Arial" w:hAnsi="Arial"/>
                <w:sz w:val="13"/>
                <w:szCs w:val="13"/>
                <w:color w:val="auto"/>
              </w:rPr>
              <w:t>19</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7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2" w:lineRule="exact"/>
        <w:rPr>
          <w:sz w:val="20"/>
          <w:szCs w:val="20"/>
          <w:color w:val="auto"/>
        </w:rPr>
      </w:pPr>
    </w:p>
    <w:p>
      <w:pPr>
        <w:ind w:firstLine="403"/>
        <w:spacing w:after="0" w:line="262" w:lineRule="auto"/>
        <w:rPr>
          <w:sz w:val="20"/>
          <w:szCs w:val="20"/>
          <w:color w:val="auto"/>
        </w:rPr>
      </w:pPr>
      <w:r>
        <w:rPr>
          <w:rFonts w:ascii="Arial" w:cs="Arial" w:eastAsia="Arial" w:hAnsi="Arial"/>
          <w:sz w:val="16"/>
          <w:szCs w:val="16"/>
          <w:color w:val="auto"/>
        </w:rPr>
        <w:t>Our insurance subsidiaries recognized a decrease in their liabilities for losses and loss expenses of prior years of $15.8 million and $30.6 million for the nine months ended September 30, 2023 and 2022,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2023 development represented 2.4% of the December 31, 2022 net carried reserves and resulted from lower-than-expected loss emergence or severity primarily in the commercial automobile, personal automobile and homeowners lines of business. The majority of the 2023 development related to decreases in the liabilities for losses and loss expenses of prior years for Atlantic States and MICO. The 2022 development represented 4.9% of the December 31, 2021 net carried reserves and resulted primarily from lower-than-expected loss emergence or severity in nearly all lines of business. The majority of the 2022 development related to decreases in the liabilities for losses and loss expenses of prior years for Atlantic States and MICO.</w:t>
      </w:r>
    </w:p>
    <w:p>
      <w:pPr>
        <w:spacing w:after="0" w:line="170" w:lineRule="exact"/>
        <w:rPr>
          <w:sz w:val="20"/>
          <w:szCs w:val="20"/>
          <w:color w:val="auto"/>
        </w:rPr>
      </w:pPr>
    </w:p>
    <w:p>
      <w:pPr>
        <w:ind w:right="260" w:firstLine="403"/>
        <w:spacing w:after="0" w:line="268" w:lineRule="auto"/>
        <w:rPr>
          <w:sz w:val="20"/>
          <w:szCs w:val="20"/>
          <w:color w:val="auto"/>
        </w:rPr>
      </w:pPr>
      <w:r>
        <w:rPr>
          <w:rFonts w:ascii="Arial" w:cs="Arial" w:eastAsia="Arial" w:hAnsi="Arial"/>
          <w:sz w:val="16"/>
          <w:szCs w:val="16"/>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65" w:lineRule="exact"/>
        <w:rPr>
          <w:sz w:val="20"/>
          <w:szCs w:val="20"/>
          <w:color w:val="auto"/>
        </w:rPr>
      </w:pPr>
    </w:p>
    <w:p>
      <w:pPr>
        <w:ind w:right="60" w:firstLine="403"/>
        <w:spacing w:after="0" w:line="287" w:lineRule="auto"/>
        <w:rPr>
          <w:sz w:val="20"/>
          <w:szCs w:val="20"/>
          <w:color w:val="auto"/>
        </w:rPr>
      </w:pPr>
      <w:r>
        <w:rPr>
          <w:rFonts w:ascii="Arial" w:cs="Arial" w:eastAsia="Arial" w:hAnsi="Arial"/>
          <w:sz w:val="15"/>
          <w:szCs w:val="15"/>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nine months ended September 30, 2023.</w:t>
      </w:r>
    </w:p>
    <w:p>
      <w:pPr>
        <w:spacing w:after="0" w:line="153" w:lineRule="exact"/>
        <w:rPr>
          <w:sz w:val="20"/>
          <w:szCs w:val="20"/>
          <w:color w:val="auto"/>
        </w:rPr>
      </w:pPr>
    </w:p>
    <w:p>
      <w:pPr>
        <w:ind w:right="220" w:firstLine="403"/>
        <w:spacing w:after="0" w:line="265" w:lineRule="auto"/>
        <w:rPr>
          <w:sz w:val="20"/>
          <w:szCs w:val="20"/>
          <w:color w:val="auto"/>
        </w:rPr>
      </w:pPr>
      <w:r>
        <w:rPr>
          <w:rFonts w:ascii="Arial" w:cs="Arial" w:eastAsia="Arial" w:hAnsi="Arial"/>
          <w:sz w:val="16"/>
          <w:szCs w:val="16"/>
          <w:color w:val="auto"/>
        </w:rPr>
        <w:t>The actuaries for our insurance subsidiaries generally prepare an initial estimate for ultimate losses and loss expenses for the current accident year by multiplying earned premium by an ‘‘</w:t>
      </w:r>
      <w:r>
        <w:rPr>
          <w:rFonts w:ascii="Arial" w:cs="Arial" w:eastAsia="Arial" w:hAnsi="Arial"/>
          <w:sz w:val="16"/>
          <w:szCs w:val="16"/>
          <w:i w:val="1"/>
          <w:iCs w:val="1"/>
          <w:color w:val="auto"/>
        </w:rPr>
        <w:t>a priori</w:t>
      </w:r>
      <w:r>
        <w:rPr>
          <w:rFonts w:ascii="Arial" w:cs="Arial" w:eastAsia="Arial" w:hAnsi="Arial"/>
          <w:sz w:val="16"/>
          <w:szCs w:val="16"/>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69" w:lineRule="exact"/>
        <w:rPr>
          <w:sz w:val="20"/>
          <w:szCs w:val="20"/>
          <w:color w:val="auto"/>
        </w:rPr>
      </w:pPr>
    </w:p>
    <w:p>
      <w:pPr>
        <w:ind w:right="60" w:firstLine="403"/>
        <w:spacing w:after="0" w:line="273" w:lineRule="auto"/>
        <w:rPr>
          <w:sz w:val="20"/>
          <w:szCs w:val="20"/>
          <w:color w:val="auto"/>
        </w:rPr>
      </w:pPr>
      <w:r>
        <w:rPr>
          <w:rFonts w:ascii="Arial" w:cs="Arial" w:eastAsia="Arial" w:hAnsi="Arial"/>
          <w:sz w:val="16"/>
          <w:szCs w:val="16"/>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62" w:lineRule="exact"/>
        <w:rPr>
          <w:sz w:val="20"/>
          <w:szCs w:val="20"/>
          <w:color w:val="auto"/>
        </w:rPr>
      </w:pPr>
    </w:p>
    <w:p>
      <w:pPr>
        <w:jc w:val="both"/>
        <w:ind w:right="40" w:firstLine="403"/>
        <w:spacing w:after="0" w:line="329" w:lineRule="auto"/>
        <w:rPr>
          <w:sz w:val="20"/>
          <w:szCs w:val="20"/>
          <w:color w:val="auto"/>
        </w:rPr>
      </w:pPr>
      <w:r>
        <w:rPr>
          <w:rFonts w:ascii="Arial" w:cs="Arial" w:eastAsia="Arial" w:hAnsi="Arial"/>
          <w:sz w:val="14"/>
          <w:szCs w:val="14"/>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27" w:lineRule="exact"/>
        <w:rPr>
          <w:sz w:val="20"/>
          <w:szCs w:val="20"/>
          <w:color w:val="auto"/>
        </w:rPr>
      </w:pPr>
    </w:p>
    <w:p>
      <w:pPr>
        <w:jc w:val="both"/>
        <w:ind w:right="160" w:firstLine="403"/>
        <w:spacing w:after="0" w:line="287" w:lineRule="auto"/>
        <w:rPr>
          <w:sz w:val="20"/>
          <w:szCs w:val="20"/>
          <w:color w:val="auto"/>
        </w:rPr>
      </w:pPr>
      <w:r>
        <w:rPr>
          <w:rFonts w:ascii="Arial" w:cs="Arial" w:eastAsia="Arial" w:hAnsi="Arial"/>
          <w:sz w:val="15"/>
          <w:szCs w:val="15"/>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53" w:lineRule="exact"/>
        <w:rPr>
          <w:sz w:val="20"/>
          <w:szCs w:val="20"/>
          <w:color w:val="auto"/>
        </w:rPr>
      </w:pPr>
    </w:p>
    <w:p>
      <w:pPr>
        <w:ind w:firstLine="403"/>
        <w:spacing w:after="0" w:line="265" w:lineRule="auto"/>
        <w:rPr>
          <w:sz w:val="20"/>
          <w:szCs w:val="20"/>
          <w:color w:val="auto"/>
        </w:rPr>
      </w:pPr>
      <w:r>
        <w:rPr>
          <w:rFonts w:ascii="Arial" w:cs="Arial" w:eastAsia="Arial" w:hAnsi="Arial"/>
          <w:sz w:val="16"/>
          <w:szCs w:val="16"/>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12 -</w:t>
      </w:r>
      <w:r>
        <w:rPr>
          <w:sz w:val="20"/>
          <w:szCs w:val="20"/>
          <w:color w:val="auto"/>
        </w:rPr>
        <w:tab/>
      </w:r>
      <w:r>
        <w:rPr>
          <w:rFonts w:ascii="Arial" w:cs="Arial" w:eastAsia="Arial" w:hAnsi="Arial"/>
          <w:sz w:val="14"/>
          <w:szCs w:val="14"/>
          <w:b w:val="1"/>
          <w:bCs w:val="1"/>
          <w:color w:val="auto"/>
        </w:rPr>
        <w:t>Allowance for Expected Credit Losses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Held-to-Maturity Fixed-Maturity Securities</w:t>
      </w:r>
    </w:p>
    <w:p>
      <w:pPr>
        <w:spacing w:after="0" w:line="215" w:lineRule="exact"/>
        <w:rPr>
          <w:sz w:val="20"/>
          <w:szCs w:val="20"/>
          <w:color w:val="auto"/>
        </w:rPr>
      </w:pPr>
    </w:p>
    <w:p>
      <w:pPr>
        <w:ind w:right="140" w:firstLine="444"/>
        <w:spacing w:after="0" w:line="289" w:lineRule="auto"/>
        <w:rPr>
          <w:sz w:val="20"/>
          <w:szCs w:val="20"/>
          <w:color w:val="auto"/>
        </w:rPr>
      </w:pPr>
      <w:r>
        <w:rPr>
          <w:rFonts w:ascii="Arial" w:cs="Arial" w:eastAsia="Arial" w:hAnsi="Arial"/>
          <w:sz w:val="16"/>
          <w:szCs w:val="16"/>
          <w:color w:val="auto"/>
        </w:rPr>
        <w:t>The following table presents the balances for fixed maturities classified as held-to-maturity, net of the allowance for expected credit losses, at September 30, 2023 and 2022 and changes in the allowance for expected credit losses for the three and nine months ended September 30, 2023 and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278"/>
              <w:spacing w:after="0"/>
              <w:rPr>
                <w:sz w:val="20"/>
                <w:szCs w:val="20"/>
                <w:color w:val="auto"/>
              </w:rPr>
            </w:pPr>
            <w:r>
              <w:rPr>
                <w:rFonts w:ascii="Arial" w:cs="Arial" w:eastAsia="Arial" w:hAnsi="Arial"/>
                <w:sz w:val="16"/>
                <w:szCs w:val="16"/>
                <w:b w:val="1"/>
                <w:bCs w:val="1"/>
                <w:color w:val="auto"/>
                <w:w w:val="97"/>
              </w:rPr>
              <w:t>At and For the Three Months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5"/>
              </w:rPr>
              <w:t>At and For the Three Months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160"/>
              <w:spacing w:after="0"/>
              <w:rPr>
                <w:sz w:val="20"/>
                <w:szCs w:val="20"/>
                <w:color w:val="auto"/>
              </w:rPr>
            </w:pPr>
            <w:r>
              <w:rPr>
                <w:rFonts w:ascii="Arial" w:cs="Arial" w:eastAsia="Arial" w:hAnsi="Arial"/>
                <w:sz w:val="16"/>
                <w:szCs w:val="16"/>
                <w:b w:val="1"/>
                <w:bCs w:val="1"/>
                <w:color w:val="auto"/>
              </w:rPr>
              <w:t>Ended September 30, 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Ended September 30, 2022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w w:val="99"/>
              </w:rPr>
              <w:t>Held-to-</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8"/>
              <w:spacing w:after="0" w:line="181" w:lineRule="exact"/>
              <w:rPr>
                <w:sz w:val="20"/>
                <w:szCs w:val="20"/>
                <w:color w:val="auto"/>
              </w:rPr>
            </w:pPr>
            <w:r>
              <w:rPr>
                <w:rFonts w:ascii="Arial" w:cs="Arial" w:eastAsia="Arial" w:hAnsi="Arial"/>
                <w:sz w:val="16"/>
                <w:szCs w:val="16"/>
                <w:b w:val="1"/>
                <w:bCs w:val="1"/>
                <w:color w:val="auto"/>
                <w:w w:val="95"/>
              </w:rPr>
              <w:t>Held-to-</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Net</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3"/>
              </w:rPr>
              <w:t>Allowance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Allowance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of Allowance</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2"/>
              </w:rPr>
              <w:t>for Expected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of Allowance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Expected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for Expected</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9"/>
              </w:rPr>
              <w:t>Credit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2"/>
              </w:rPr>
              <w:t>for Expected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Credit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8"/>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right"/>
              <w:ind w:right="758"/>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685,402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1,324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Current period change for expected credit losses</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38"/>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end of period</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683,912</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696,392</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5"/>
          </w:tcPr>
          <w:p>
            <w:pPr>
              <w:ind w:left="160"/>
              <w:spacing w:after="0"/>
              <w:rPr>
                <w:sz w:val="20"/>
                <w:szCs w:val="20"/>
                <w:color w:val="auto"/>
              </w:rPr>
            </w:pPr>
            <w:r>
              <w:rPr>
                <w:rFonts w:ascii="Arial" w:cs="Arial" w:eastAsia="Arial" w:hAnsi="Arial"/>
                <w:sz w:val="16"/>
                <w:szCs w:val="16"/>
                <w:b w:val="1"/>
                <w:bCs w:val="1"/>
                <w:color w:val="auto"/>
              </w:rPr>
              <w:t>At and For the Nine Months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4"/>
              </w:rPr>
              <w:t>At and For the Nine Months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jc w:val="right"/>
              <w:ind w:right="318"/>
              <w:spacing w:after="0"/>
              <w:rPr>
                <w:sz w:val="20"/>
                <w:szCs w:val="20"/>
                <w:color w:val="auto"/>
              </w:rPr>
            </w:pPr>
            <w:r>
              <w:rPr>
                <w:rFonts w:ascii="Arial" w:cs="Arial" w:eastAsia="Arial" w:hAnsi="Arial"/>
                <w:sz w:val="16"/>
                <w:szCs w:val="16"/>
                <w:b w:val="1"/>
                <w:bCs w:val="1"/>
                <w:color w:val="auto"/>
              </w:rPr>
              <w:t>Ended September 30, 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Ended September 30, 2022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w w:val="95"/>
              </w:rPr>
              <w:t>Held-to-</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8"/>
              <w:spacing w:after="0" w:line="181" w:lineRule="exact"/>
              <w:rPr>
                <w:sz w:val="20"/>
                <w:szCs w:val="20"/>
                <w:color w:val="auto"/>
              </w:rPr>
            </w:pPr>
            <w:r>
              <w:rPr>
                <w:rFonts w:ascii="Arial" w:cs="Arial" w:eastAsia="Arial" w:hAnsi="Arial"/>
                <w:sz w:val="16"/>
                <w:szCs w:val="16"/>
                <w:b w:val="1"/>
                <w:bCs w:val="1"/>
                <w:color w:val="auto"/>
                <w:w w:val="95"/>
              </w:rPr>
              <w:t>Held-to-</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Maturity, Net</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3"/>
              </w:rPr>
              <w:t>Allowance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Allowance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of Allowance</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2"/>
              </w:rPr>
              <w:t>for Expected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of Allowance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Expected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 Expected</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9"/>
              </w:rPr>
              <w:t>Credit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2"/>
              </w:rPr>
              <w:t>for Expected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Credit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8"/>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(in</w:t>
            </w:r>
          </w:p>
        </w:tc>
        <w:tc>
          <w:tcPr>
            <w:tcW w:w="1360" w:type="dxa"/>
            <w:vAlign w:val="bottom"/>
            <w:gridSpan w:val="4"/>
          </w:tcPr>
          <w:p>
            <w:pPr>
              <w:jc w:val="right"/>
              <w:ind w:right="698"/>
              <w:spacing w:after="0"/>
              <w:rPr>
                <w:sz w:val="20"/>
                <w:szCs w:val="20"/>
                <w:color w:val="auto"/>
              </w:rPr>
            </w:pPr>
            <w:r>
              <w:rPr>
                <w:rFonts w:ascii="Arial" w:cs="Arial" w:eastAsia="Arial" w:hAnsi="Arial"/>
                <w:sz w:val="16"/>
                <w:szCs w:val="16"/>
                <w:color w:val="auto"/>
                <w:w w:val="70"/>
              </w:rPr>
              <w:t>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688,439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Cumulative effect of adoption of updated accounting guidance for credit losses at</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6"/>
                <w:szCs w:val="16"/>
                <w:color w:val="auto"/>
              </w:rPr>
              <w:t>January 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Current period change for expected credit losses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683,912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
              <w:spacing w:after="0"/>
              <w:rPr>
                <w:sz w:val="20"/>
                <w:szCs w:val="20"/>
                <w:color w:val="auto"/>
              </w:rPr>
            </w:pPr>
            <w:r>
              <w:rPr>
                <w:rFonts w:ascii="Arial" w:cs="Arial" w:eastAsia="Arial" w:hAnsi="Arial"/>
                <w:sz w:val="16"/>
                <w:szCs w:val="16"/>
                <w:color w:val="auto"/>
              </w:rPr>
              <w:t>1,359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696,392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Reinsurance Receivable</w:t>
      </w:r>
    </w:p>
    <w:p>
      <w:pPr>
        <w:spacing w:after="0" w:line="215" w:lineRule="exact"/>
        <w:rPr>
          <w:sz w:val="20"/>
          <w:szCs w:val="20"/>
          <w:color w:val="auto"/>
        </w:rPr>
      </w:pPr>
    </w:p>
    <w:p>
      <w:pPr>
        <w:ind w:right="440" w:firstLine="444"/>
        <w:spacing w:after="0" w:line="289" w:lineRule="auto"/>
        <w:rPr>
          <w:sz w:val="20"/>
          <w:szCs w:val="20"/>
          <w:color w:val="auto"/>
        </w:rPr>
      </w:pPr>
      <w:r>
        <w:rPr>
          <w:rFonts w:ascii="Arial" w:cs="Arial" w:eastAsia="Arial" w:hAnsi="Arial"/>
          <w:sz w:val="16"/>
          <w:szCs w:val="16"/>
          <w:color w:val="auto"/>
        </w:rPr>
        <w:t>The following table presents the balances for reinsurance receivable, net of the allowance for expected credit losses, at September 30, 2023 and 2022, and the changes in the allowance for expected credit losses for the three and nine months ended September 30, 2023 and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5"/>
              </w:rPr>
              <w:t>At and For the Three Months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5"/>
              </w:rPr>
              <w:t>At and For the Three Months</w:t>
            </w:r>
          </w:p>
        </w:tc>
      </w:tr>
      <w:tr>
        <w:trPr>
          <w:trHeight w:val="219"/>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7"/>
              </w:rPr>
              <w:t>Ended September 30, 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Ended September 30, 2022</w:t>
            </w:r>
          </w:p>
        </w:tc>
      </w:tr>
      <w:tr>
        <w:trPr>
          <w:trHeight w:val="181"/>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340"/>
              <w:spacing w:after="0" w:line="181" w:lineRule="exact"/>
              <w:rPr>
                <w:sz w:val="20"/>
                <w:szCs w:val="20"/>
                <w:color w:val="auto"/>
              </w:rPr>
            </w:pPr>
            <w:r>
              <w:rPr>
                <w:rFonts w:ascii="Arial" w:cs="Arial" w:eastAsia="Arial" w:hAnsi="Arial"/>
                <w:sz w:val="16"/>
                <w:szCs w:val="16"/>
                <w:b w:val="1"/>
                <w:bCs w:val="1"/>
                <w:color w:val="auto"/>
                <w:w w:val="91"/>
              </w:rPr>
              <w:t>Reinsurance</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1"/>
              </w:rPr>
              <w:t>Reinsurance</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Receivable, Net</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Allowance</w:t>
            </w: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Receivable,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Allowance</w:t>
            </w: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of Allowance</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 Expected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of Allowance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Expected</w:t>
            </w: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for Expected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Credit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2"/>
              </w:rPr>
              <w:t>for Expected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Credit</w:t>
            </w:r>
          </w:p>
        </w:tc>
      </w:tr>
      <w:tr>
        <w:trPr>
          <w:trHeight w:val="219"/>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6"/>
                <w:szCs w:val="16"/>
                <w:b w:val="1"/>
                <w:bCs w:val="1"/>
                <w:color w:val="auto"/>
                <w:w w:val="90"/>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8"/>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right"/>
              <w:ind w:right="758"/>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460,681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Current period change for expected credit losses</w:t>
            </w:r>
          </w:p>
        </w:tc>
        <w:tc>
          <w:tcPr>
            <w:tcW w:w="15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ind w:left="860"/>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end of period</w:t>
            </w:r>
          </w:p>
        </w:tc>
        <w:tc>
          <w:tcPr>
            <w:tcW w:w="16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437,889</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451,847</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0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00" w:type="dxa"/>
            <w:vAlign w:val="bottom"/>
          </w:tcPr>
          <w:p>
            <w:pPr>
              <w:jc w:val="right"/>
              <w:ind w:right="106"/>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4"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5"/>
          </w:tcPr>
          <w:p>
            <w:pPr>
              <w:jc w:val="right"/>
              <w:ind w:right="278"/>
              <w:spacing w:after="0"/>
              <w:rPr>
                <w:sz w:val="20"/>
                <w:szCs w:val="20"/>
                <w:color w:val="auto"/>
              </w:rPr>
            </w:pPr>
            <w:r>
              <w:rPr>
                <w:rFonts w:ascii="Arial" w:cs="Arial" w:eastAsia="Arial" w:hAnsi="Arial"/>
                <w:sz w:val="16"/>
                <w:szCs w:val="16"/>
                <w:b w:val="1"/>
                <w:bCs w:val="1"/>
                <w:color w:val="auto"/>
              </w:rPr>
              <w:t>At and For the Nine Months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4"/>
              </w:rPr>
              <w:t>At and For the Nine Months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jc w:val="right"/>
              <w:ind w:right="318"/>
              <w:spacing w:after="0"/>
              <w:rPr>
                <w:sz w:val="20"/>
                <w:szCs w:val="20"/>
                <w:color w:val="auto"/>
              </w:rPr>
            </w:pPr>
            <w:r>
              <w:rPr>
                <w:rFonts w:ascii="Arial" w:cs="Arial" w:eastAsia="Arial" w:hAnsi="Arial"/>
                <w:sz w:val="16"/>
                <w:szCs w:val="16"/>
                <w:b w:val="1"/>
                <w:bCs w:val="1"/>
                <w:color w:val="auto"/>
              </w:rPr>
              <w:t>Ended September 30, 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2"/>
              </w:rPr>
              <w:t>Ended September 30, 2022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300"/>
              <w:spacing w:after="0" w:line="181" w:lineRule="exact"/>
              <w:rPr>
                <w:sz w:val="20"/>
                <w:szCs w:val="20"/>
                <w:color w:val="auto"/>
              </w:rPr>
            </w:pPr>
            <w:r>
              <w:rPr>
                <w:rFonts w:ascii="Arial" w:cs="Arial" w:eastAsia="Arial" w:hAnsi="Arial"/>
                <w:sz w:val="16"/>
                <w:szCs w:val="16"/>
                <w:b w:val="1"/>
                <w:bCs w:val="1"/>
                <w:color w:val="auto"/>
                <w:w w:val="91"/>
              </w:rPr>
              <w:t>Reinsurance</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1"/>
              </w:rPr>
              <w:t>Reinsurance</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Receivable, Net</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3"/>
              </w:rPr>
              <w:t>Allowance</w:t>
            </w: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Receivable,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Allowance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of Allowance</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2"/>
              </w:rPr>
              <w:t>for Expected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of Allowance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Expected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 Expected</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9"/>
              </w:rPr>
              <w:t>Credit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 Expected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Credit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Credit Losses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8"/>
              </w:rPr>
              <w:t>Credit 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(in</w:t>
            </w:r>
          </w:p>
        </w:tc>
        <w:tc>
          <w:tcPr>
            <w:tcW w:w="1360" w:type="dxa"/>
            <w:vAlign w:val="bottom"/>
            <w:gridSpan w:val="4"/>
          </w:tcPr>
          <w:p>
            <w:pPr>
              <w:jc w:val="right"/>
              <w:ind w:right="698"/>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456,522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455,411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top w:val="single" w:sz="8" w:color="CCEEFF"/>
            </w:tcBorders>
            <w:gridSpan w:val="2"/>
          </w:tcPr>
          <w:p>
            <w:pPr>
              <w:spacing w:after="0" w:line="175" w:lineRule="exact"/>
              <w:rPr>
                <w:sz w:val="20"/>
                <w:szCs w:val="20"/>
                <w:color w:val="auto"/>
              </w:rPr>
            </w:pPr>
            <w:r>
              <w:rPr>
                <w:rFonts w:ascii="Arial" w:cs="Arial" w:eastAsia="Arial" w:hAnsi="Arial"/>
                <w:sz w:val="16"/>
                <w:szCs w:val="16"/>
                <w:color w:val="auto"/>
              </w:rPr>
              <w:t>Cumulative effect of adoption of updated accounting guidance for credit losses at</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Arial" w:cs="Arial" w:eastAsia="Arial" w:hAnsi="Arial"/>
                <w:sz w:val="16"/>
                <w:szCs w:val="16"/>
                <w:color w:val="auto"/>
              </w:rPr>
              <w:t>January 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period change for expected credit losses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Balance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437,889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
              <w:spacing w:after="0"/>
              <w:rPr>
                <w:sz w:val="20"/>
                <w:szCs w:val="20"/>
                <w:color w:val="auto"/>
              </w:rPr>
            </w:pPr>
            <w:r>
              <w:rPr>
                <w:rFonts w:ascii="Arial" w:cs="Arial" w:eastAsia="Arial" w:hAnsi="Arial"/>
                <w:sz w:val="16"/>
                <w:szCs w:val="16"/>
                <w:color w:val="auto"/>
              </w:rPr>
              <w:t>1,605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451,847</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13 -</w:t>
      </w:r>
      <w:r>
        <w:rPr>
          <w:sz w:val="20"/>
          <w:szCs w:val="20"/>
          <w:color w:val="auto"/>
        </w:rPr>
        <w:tab/>
      </w:r>
      <w:r>
        <w:rPr>
          <w:rFonts w:ascii="Arial" w:cs="Arial" w:eastAsia="Arial" w:hAnsi="Arial"/>
          <w:sz w:val="14"/>
          <w:szCs w:val="14"/>
          <w:b w:val="1"/>
          <w:bCs w:val="1"/>
          <w:color w:val="auto"/>
        </w:rPr>
        <w:t>Impact of New Accounting Standards</w:t>
      </w:r>
    </w:p>
    <w:p>
      <w:pPr>
        <w:spacing w:after="0" w:line="215" w:lineRule="exact"/>
        <w:rPr>
          <w:sz w:val="20"/>
          <w:szCs w:val="20"/>
          <w:color w:val="auto"/>
        </w:rPr>
      </w:pPr>
    </w:p>
    <w:p>
      <w:pPr>
        <w:ind w:right="60" w:firstLine="403"/>
        <w:spacing w:after="0" w:line="284" w:lineRule="auto"/>
        <w:rPr>
          <w:sz w:val="20"/>
          <w:szCs w:val="20"/>
          <w:color w:val="auto"/>
        </w:rPr>
      </w:pPr>
      <w:r>
        <w:rPr>
          <w:rFonts w:ascii="Arial" w:cs="Arial" w:eastAsia="Arial" w:hAnsi="Arial"/>
          <w:sz w:val="15"/>
          <w:szCs w:val="15"/>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8"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5" w:lineRule="exact"/>
        <w:rPr>
          <w:sz w:val="20"/>
          <w:szCs w:val="20"/>
          <w:color w:val="auto"/>
        </w:rPr>
      </w:pPr>
    </w:p>
    <w:p>
      <w:pPr>
        <w:ind w:firstLine="444"/>
        <w:spacing w:after="0" w:line="273" w:lineRule="auto"/>
        <w:rPr>
          <w:sz w:val="20"/>
          <w:szCs w:val="20"/>
          <w:color w:val="auto"/>
        </w:rPr>
      </w:pPr>
      <w:r>
        <w:rPr>
          <w:rFonts w:ascii="Arial" w:cs="Arial" w:eastAsia="Arial" w:hAnsi="Arial"/>
          <w:sz w:val="16"/>
          <w:szCs w:val="16"/>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5" w:lineRule="exact"/>
        <w:rPr>
          <w:sz w:val="20"/>
          <w:szCs w:val="20"/>
          <w:color w:val="auto"/>
        </w:rPr>
      </w:pPr>
    </w:p>
    <w:p>
      <w:pPr>
        <w:ind w:right="440" w:firstLine="444"/>
        <w:spacing w:after="0" w:line="289" w:lineRule="auto"/>
        <w:rPr>
          <w:sz w:val="20"/>
          <w:szCs w:val="20"/>
          <w:color w:val="auto"/>
        </w:rPr>
      </w:pPr>
      <w:r>
        <w:rPr>
          <w:rFonts w:ascii="Arial" w:cs="Arial" w:eastAsia="Arial" w:hAnsi="Arial"/>
          <w:sz w:val="16"/>
          <w:szCs w:val="16"/>
          <w:color w:val="auto"/>
        </w:rPr>
        <w:t>We combine our financial statements with those of our insurance subsidiaries and present our financial statements on a consolidated basis in accordance with United States generally accepted accounting principles (“GAAP”).</w:t>
      </w:r>
    </w:p>
    <w:p>
      <w:pPr>
        <w:spacing w:after="0" w:line="149" w:lineRule="exact"/>
        <w:rPr>
          <w:sz w:val="20"/>
          <w:szCs w:val="20"/>
          <w:color w:val="auto"/>
        </w:rPr>
      </w:pPr>
    </w:p>
    <w:p>
      <w:pPr>
        <w:ind w:right="40" w:firstLine="444"/>
        <w:spacing w:after="0" w:line="291" w:lineRule="auto"/>
        <w:rPr>
          <w:sz w:val="20"/>
          <w:szCs w:val="20"/>
          <w:color w:val="auto"/>
        </w:rPr>
      </w:pPr>
      <w:r>
        <w:rPr>
          <w:rFonts w:ascii="Arial" w:cs="Arial" w:eastAsia="Arial" w:hAnsi="Arial"/>
          <w:sz w:val="15"/>
          <w:szCs w:val="15"/>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of these liabilities may differ from the estimates we provided. We regularly review our methods for making these estimates and we reflect any adjustment we consider necessary in our current consolidated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Liabilities for Losses and Loss Expenses</w:t>
      </w:r>
    </w:p>
    <w:p>
      <w:pPr>
        <w:spacing w:after="0" w:line="211" w:lineRule="exact"/>
        <w:rPr>
          <w:sz w:val="20"/>
          <w:szCs w:val="20"/>
          <w:color w:val="auto"/>
        </w:rPr>
      </w:pPr>
    </w:p>
    <w:p>
      <w:pPr>
        <w:ind w:right="40" w:firstLine="444"/>
        <w:spacing w:after="0" w:line="261" w:lineRule="auto"/>
        <w:rPr>
          <w:sz w:val="20"/>
          <w:szCs w:val="20"/>
          <w:color w:val="auto"/>
        </w:rPr>
      </w:pPr>
      <w:r>
        <w:rPr>
          <w:rFonts w:ascii="Arial" w:cs="Arial" w:eastAsia="Arial" w:hAnsi="Arial"/>
          <w:sz w:val="16"/>
          <w:szCs w:val="16"/>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73" w:lineRule="exact"/>
        <w:rPr>
          <w:sz w:val="20"/>
          <w:szCs w:val="20"/>
          <w:color w:val="auto"/>
        </w:rPr>
      </w:pPr>
    </w:p>
    <w:p>
      <w:pPr>
        <w:ind w:right="40" w:firstLine="444"/>
        <w:spacing w:after="0" w:line="262" w:lineRule="auto"/>
        <w:rPr>
          <w:sz w:val="20"/>
          <w:szCs w:val="20"/>
          <w:color w:val="auto"/>
        </w:rPr>
      </w:pPr>
      <w:r>
        <w:rPr>
          <w:rFonts w:ascii="Arial" w:cs="Arial" w:eastAsia="Arial" w:hAnsi="Arial"/>
          <w:sz w:val="16"/>
          <w:szCs w:val="16"/>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5" w:name="page26"/>
    <w:bookmarkEnd w:id="25"/>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2" w:lineRule="exact"/>
        <w:rPr>
          <w:sz w:val="20"/>
          <w:szCs w:val="20"/>
          <w:color w:val="auto"/>
        </w:rPr>
      </w:pPr>
    </w:p>
    <w:p>
      <w:pPr>
        <w:ind w:firstLine="444"/>
        <w:spacing w:after="0" w:line="277" w:lineRule="auto"/>
        <w:rPr>
          <w:sz w:val="20"/>
          <w:szCs w:val="20"/>
          <w:color w:val="auto"/>
        </w:rPr>
      </w:pPr>
      <w:r>
        <w:rPr>
          <w:rFonts w:ascii="Arial" w:cs="Arial" w:eastAsia="Arial" w:hAnsi="Arial"/>
          <w:sz w:val="15"/>
          <w:szCs w:val="15"/>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used automobile values, lengthening of repair completion times, increases in the cost of replacement automobile parts and rising labor rates. These trend changes give rise to greater uncertainty as to the pattern of future loss settlements. Related uncertainties regarding future trends include social inflation, availability and cost of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September 30, 2023. At September 30, 2023, for every 1% change in our insurance subsidiaries’ loss and loss expense reserves, net of reinsurance recoverable, the effect on our pre-tax results of operations would be approximately $6.8 million.</w:t>
      </w:r>
    </w:p>
    <w:p>
      <w:pPr>
        <w:spacing w:after="0" w:line="170" w:lineRule="exact"/>
        <w:rPr>
          <w:sz w:val="20"/>
          <w:szCs w:val="20"/>
          <w:color w:val="auto"/>
        </w:rPr>
      </w:pPr>
    </w:p>
    <w:p>
      <w:pPr>
        <w:ind w:firstLine="444"/>
        <w:spacing w:after="0" w:line="262" w:lineRule="auto"/>
        <w:rPr>
          <w:sz w:val="20"/>
          <w:szCs w:val="20"/>
          <w:color w:val="auto"/>
        </w:rPr>
      </w:pPr>
      <w:r>
        <w:rPr>
          <w:rFonts w:ascii="Arial" w:cs="Arial" w:eastAsia="Arial" w:hAnsi="Arial"/>
          <w:sz w:val="16"/>
          <w:szCs w:val="16"/>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70" w:lineRule="exact"/>
        <w:rPr>
          <w:sz w:val="20"/>
          <w:szCs w:val="20"/>
          <w:color w:val="auto"/>
        </w:rPr>
      </w:pPr>
    </w:p>
    <w:p>
      <w:pPr>
        <w:ind w:right="60" w:firstLine="444"/>
        <w:spacing w:after="0" w:line="262" w:lineRule="auto"/>
        <w:rPr>
          <w:sz w:val="20"/>
          <w:szCs w:val="20"/>
          <w:color w:val="auto"/>
        </w:rPr>
      </w:pPr>
      <w:r>
        <w:rPr>
          <w:rFonts w:ascii="Arial" w:cs="Arial" w:eastAsia="Arial" w:hAnsi="Arial"/>
          <w:sz w:val="16"/>
          <w:szCs w:val="16"/>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rising inflation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70" w:lineRule="exact"/>
        <w:rPr>
          <w:sz w:val="20"/>
          <w:szCs w:val="20"/>
          <w:color w:val="auto"/>
        </w:rPr>
      </w:pPr>
    </w:p>
    <w:p>
      <w:pPr>
        <w:ind w:firstLine="444"/>
        <w:spacing w:after="0" w:line="284" w:lineRule="auto"/>
        <w:rPr>
          <w:sz w:val="20"/>
          <w:szCs w:val="20"/>
          <w:color w:val="auto"/>
        </w:rPr>
      </w:pPr>
      <w:r>
        <w:rPr>
          <w:rFonts w:ascii="Arial" w:cs="Arial" w:eastAsia="Arial" w:hAnsi="Arial"/>
          <w:sz w:val="15"/>
          <w:szCs w:val="15"/>
          <w:color w:val="auto"/>
        </w:rPr>
        <w:t>Atlantic States’ participation in the pool with Donegal Mutual exposes Atlantic States to adverse loss development on the business of Donegal Mutual that the pool includes. However, pooled business represents the predominant percentage of the net underwriting activity of both companies, and Donegal Mutual and Atlantic States share proportionately any adverse risk development relating to the pooled business. The business in the pool is homogeneous and each company has a pro-rata share of the entire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2" w:lineRule="exact"/>
        <w:rPr>
          <w:sz w:val="20"/>
          <w:szCs w:val="20"/>
          <w:color w:val="auto"/>
        </w:rPr>
      </w:pPr>
    </w:p>
    <w:p>
      <w:pPr>
        <w:ind w:right="560" w:firstLine="444"/>
        <w:spacing w:after="0" w:line="289" w:lineRule="auto"/>
        <w:rPr>
          <w:sz w:val="20"/>
          <w:szCs w:val="20"/>
          <w:color w:val="auto"/>
        </w:rPr>
      </w:pPr>
      <w:r>
        <w:rPr>
          <w:rFonts w:ascii="Arial" w:cs="Arial" w:eastAsia="Arial" w:hAnsi="Arial"/>
          <w:sz w:val="16"/>
          <w:szCs w:val="16"/>
          <w:color w:val="auto"/>
        </w:rPr>
        <w:t>Our insurance subsidiaries’ liabilities for losses and loss expenses by major line of business at September 30, 2023 and December 31, 2022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60" w:type="dxa"/>
            <w:vAlign w:val="bottom"/>
            <w:gridSpan w:val="2"/>
            <w:vMerge w:val="restart"/>
          </w:tcPr>
          <w:p>
            <w:pPr>
              <w:spacing w:after="0"/>
              <w:rPr>
                <w:sz w:val="20"/>
                <w:szCs w:val="20"/>
                <w:color w:val="auto"/>
              </w:rPr>
            </w:pPr>
            <w:r>
              <w:rPr>
                <w:rFonts w:ascii="Arial" w:cs="Arial" w:eastAsia="Arial" w:hAnsi="Arial"/>
                <w:sz w:val="16"/>
                <w:szCs w:val="16"/>
                <w:color w:val="auto"/>
              </w:rPr>
              <w:t>Commercial lines:</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(in</w:t>
            </w:r>
          </w:p>
        </w:tc>
        <w:tc>
          <w:tcPr>
            <w:tcW w:w="1340" w:type="dxa"/>
            <w:vAlign w:val="bottom"/>
            <w:gridSpan w:val="4"/>
          </w:tcPr>
          <w:p>
            <w:pPr>
              <w:jc w:val="right"/>
              <w:ind w:right="678"/>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Automobile</w:t>
            </w:r>
          </w:p>
        </w:tc>
        <w:tc>
          <w:tcPr>
            <w:tcW w:w="3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168,342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174,833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Pr>
          <w:p>
            <w:pPr>
              <w:ind w:left="120"/>
              <w:spacing w:after="0"/>
              <w:rPr>
                <w:sz w:val="20"/>
                <w:szCs w:val="20"/>
                <w:color w:val="auto"/>
              </w:rPr>
            </w:pPr>
            <w:r>
              <w:rPr>
                <w:rFonts w:ascii="Arial" w:cs="Arial" w:eastAsia="Arial" w:hAnsi="Arial"/>
                <w:sz w:val="16"/>
                <w:szCs w:val="16"/>
                <w:color w:val="auto"/>
              </w:rPr>
              <w:t>Workers’ compensation</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120,539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multi-peril</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20"/>
              <w:spacing w:after="0"/>
              <w:rPr>
                <w:sz w:val="20"/>
                <w:szCs w:val="20"/>
                <w:color w:val="auto"/>
              </w:rPr>
            </w:pPr>
            <w:r>
              <w:rPr>
                <w:rFonts w:ascii="Arial" w:cs="Arial" w:eastAsia="Arial" w:hAnsi="Arial"/>
                <w:sz w:val="16"/>
                <w:szCs w:val="16"/>
                <w:color w:val="auto"/>
              </w:rPr>
              <w:t>Other</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28,022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23,071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 lines</w:t>
            </w:r>
          </w:p>
        </w:tc>
        <w:tc>
          <w:tcPr>
            <w:tcW w:w="2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Personal lines: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Automobile</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108,715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Pr>
          <w:p>
            <w:pPr>
              <w:ind w:left="120"/>
              <w:spacing w:after="0"/>
              <w:rPr>
                <w:sz w:val="20"/>
                <w:szCs w:val="20"/>
                <w:color w:val="auto"/>
              </w:rPr>
            </w:pPr>
            <w:r>
              <w:rPr>
                <w:rFonts w:ascii="Arial" w:cs="Arial" w:eastAsia="Arial" w:hAnsi="Arial"/>
                <w:sz w:val="16"/>
                <w:szCs w:val="16"/>
                <w:color w:val="auto"/>
              </w:rPr>
              <w:t>Homeowners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27,467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28,481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280"/>
              <w:spacing w:after="0"/>
              <w:rPr>
                <w:sz w:val="20"/>
                <w:szCs w:val="20"/>
                <w:color w:val="auto"/>
              </w:rPr>
            </w:pPr>
            <w:r>
              <w:rPr>
                <w:rFonts w:ascii="Arial" w:cs="Arial" w:eastAsia="Arial" w:hAnsi="Arial"/>
                <w:sz w:val="16"/>
                <w:szCs w:val="16"/>
                <w:color w:val="auto"/>
              </w:rPr>
              <w:t>Total personal lines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148,335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147,852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commercial and personal lines</w:t>
            </w:r>
          </w:p>
        </w:tc>
        <w:tc>
          <w:tcPr>
            <w:tcW w:w="29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681,962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Plus reinsurance recoverable</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431,392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451,184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for losses and loss expenses</w:t>
            </w:r>
          </w:p>
        </w:tc>
        <w:tc>
          <w:tcPr>
            <w:tcW w:w="2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1,113,354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1,121,046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444"/>
        <w:spacing w:after="0" w:line="284" w:lineRule="auto"/>
        <w:rPr>
          <w:sz w:val="20"/>
          <w:szCs w:val="20"/>
          <w:color w:val="auto"/>
        </w:rPr>
      </w:pPr>
      <w:r>
        <w:rPr>
          <w:rFonts w:ascii="Arial" w:cs="Arial" w:eastAsia="Arial" w:hAnsi="Arial"/>
          <w:sz w:val="15"/>
          <w:szCs w:val="15"/>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2500" w:type="dxa"/>
            <w:vAlign w:val="bottom"/>
            <w:gridSpan w:val="4"/>
          </w:tcPr>
          <w:p>
            <w:pPr>
              <w:jc w:val="right"/>
              <w:ind w:right="2200"/>
              <w:spacing w:after="0"/>
              <w:rPr>
                <w:sz w:val="20"/>
                <w:szCs w:val="20"/>
                <w:color w:val="auto"/>
              </w:rPr>
            </w:pPr>
            <w:r>
              <w:rPr>
                <w:rFonts w:ascii="Arial" w:cs="Arial" w:eastAsia="Arial" w:hAnsi="Arial"/>
                <w:sz w:val="13"/>
                <w:szCs w:val="13"/>
                <w:i w:val="1"/>
                <w:iCs w:val="1"/>
                <w:color w:val="0000EE"/>
                <w:w w:val="87"/>
              </w:rPr>
              <w:t>Index</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4"/>
        </w:trPr>
        <w:tc>
          <w:tcPr>
            <w:tcW w:w="30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Adjusted Loss and Loss</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Adjusted Loss and Loss</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250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9"/>
              </w:rPr>
              <w:t>Percentage Change in Loss</w:t>
            </w: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Expense Reserves Net of</w:t>
            </w:r>
          </w:p>
        </w:tc>
        <w:tc>
          <w:tcPr>
            <w:tcW w:w="24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Percentage Change</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Expense Reserves Net of</w:t>
            </w: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Percentage Change</w:t>
            </w:r>
          </w:p>
        </w:tc>
      </w:tr>
      <w:tr>
        <w:trPr>
          <w:trHeight w:val="197"/>
        </w:trPr>
        <w:tc>
          <w:tcPr>
            <w:tcW w:w="250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8"/>
              </w:rPr>
              <w:t>and Loss Expense Reserves</w:t>
            </w: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Reinsurance at</w:t>
            </w:r>
          </w:p>
        </w:tc>
        <w:tc>
          <w:tcPr>
            <w:tcW w:w="24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3"/>
              </w:rPr>
              <w:t>in Stockholders’ Equity at</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Reinsurance at</w:t>
            </w: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in Stockholders’ Equity at</w:t>
            </w:r>
          </w:p>
        </w:tc>
      </w:tr>
      <w:tr>
        <w:trPr>
          <w:trHeight w:val="219"/>
        </w:trPr>
        <w:tc>
          <w:tcPr>
            <w:tcW w:w="300" w:type="dxa"/>
            <w:vAlign w:val="bottom"/>
          </w:tcPr>
          <w:p>
            <w:pPr>
              <w:spacing w:after="0"/>
              <w:rPr>
                <w:sz w:val="19"/>
                <w:szCs w:val="19"/>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1"/>
              </w:rPr>
              <w:t>Net of Reinsurance</w:t>
            </w: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September 30, 2023</w:t>
            </w:r>
          </w:p>
        </w:tc>
        <w:tc>
          <w:tcPr>
            <w:tcW w:w="24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September 30, 2023(1)</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December 31, 2022</w:t>
            </w:r>
          </w:p>
        </w:tc>
        <w:tc>
          <w:tcPr>
            <w:tcW w:w="2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 2022(1)</w:t>
            </w:r>
          </w:p>
        </w:tc>
      </w:tr>
      <w:tr>
        <w:trPr>
          <w:trHeight w:val="197"/>
        </w:trPr>
        <w:tc>
          <w:tcPr>
            <w:tcW w:w="3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(dollars in thousands)</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25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613,766</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602,876</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r>
      <w:tr>
        <w:trPr>
          <w:trHeight w:val="197"/>
        </w:trPr>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6"/>
                <w:szCs w:val="16"/>
                <w:color w:val="auto"/>
              </w:rPr>
              <w:t>630,815</w:t>
            </w:r>
          </w:p>
        </w:tc>
        <w:tc>
          <w:tcPr>
            <w:tcW w:w="2320" w:type="dxa"/>
            <w:vAlign w:val="bottom"/>
            <w:gridSpan w:val="2"/>
          </w:tcPr>
          <w:p>
            <w:pPr>
              <w:jc w:val="right"/>
              <w:ind w:right="280"/>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6"/>
                <w:szCs w:val="16"/>
                <w:color w:val="auto"/>
              </w:rPr>
              <w:t>619,622</w:t>
            </w:r>
          </w:p>
        </w:tc>
        <w:tc>
          <w:tcPr>
            <w:tcW w:w="208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7"/>
                <w:szCs w:val="17"/>
                <w:color w:val="auto"/>
              </w:rPr>
            </w:pPr>
          </w:p>
        </w:tc>
      </w:tr>
      <w:tr>
        <w:trPr>
          <w:trHeight w:val="197"/>
        </w:trPr>
        <w:tc>
          <w:tcPr>
            <w:tcW w:w="24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647,864</w:t>
            </w:r>
          </w:p>
        </w:tc>
        <w:tc>
          <w:tcPr>
            <w:tcW w:w="2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636,369</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7"/>
                <w:szCs w:val="17"/>
                <w:color w:val="auto"/>
              </w:rPr>
            </w:pPr>
          </w:p>
        </w:tc>
      </w:tr>
      <w:tr>
        <w:trPr>
          <w:trHeight w:val="197"/>
        </w:trPr>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6"/>
                <w:szCs w:val="16"/>
                <w:color w:val="auto"/>
              </w:rPr>
              <w:t>664,913</w:t>
            </w:r>
          </w:p>
        </w:tc>
        <w:tc>
          <w:tcPr>
            <w:tcW w:w="2320" w:type="dxa"/>
            <w:vAlign w:val="bottom"/>
            <w:gridSpan w:val="2"/>
          </w:tcPr>
          <w:p>
            <w:pPr>
              <w:jc w:val="right"/>
              <w:ind w:right="2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6"/>
                <w:szCs w:val="16"/>
                <w:color w:val="auto"/>
              </w:rPr>
              <w:t>653,115</w:t>
            </w:r>
          </w:p>
        </w:tc>
        <w:tc>
          <w:tcPr>
            <w:tcW w:w="208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jc w:val="center"/>
              <w:ind w:right="720"/>
              <w:spacing w:after="0"/>
              <w:rPr>
                <w:sz w:val="20"/>
                <w:szCs w:val="20"/>
                <w:color w:val="auto"/>
              </w:rPr>
            </w:pPr>
            <w:r>
              <w:rPr>
                <w:rFonts w:ascii="Arial" w:cs="Arial" w:eastAsia="Arial" w:hAnsi="Arial"/>
                <w:sz w:val="16"/>
                <w:szCs w:val="16"/>
                <w:color w:val="auto"/>
                <w:w w:val="87"/>
              </w:rPr>
              <w:t>Base</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681,962</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669,862</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7"/>
        </w:trPr>
        <w:tc>
          <w:tcPr>
            <w:tcW w:w="2420" w:type="dxa"/>
            <w:vAlign w:val="bottom"/>
            <w:gridSpan w:val="3"/>
          </w:tcPr>
          <w:p>
            <w:pPr>
              <w:jc w:val="right"/>
              <w:ind w:right="34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6"/>
                <w:szCs w:val="16"/>
                <w:color w:val="auto"/>
              </w:rPr>
              <w:t>699,011</w:t>
            </w:r>
          </w:p>
        </w:tc>
        <w:tc>
          <w:tcPr>
            <w:tcW w:w="2320" w:type="dxa"/>
            <w:vAlign w:val="bottom"/>
            <w:gridSpan w:val="2"/>
          </w:tcPr>
          <w:p>
            <w:pPr>
              <w:jc w:val="right"/>
              <w:ind w:right="24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6"/>
                <w:szCs w:val="16"/>
                <w:color w:val="auto"/>
              </w:rPr>
              <w:t>686,609</w:t>
            </w:r>
          </w:p>
        </w:tc>
        <w:tc>
          <w:tcPr>
            <w:tcW w:w="224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r>
      <w:tr>
        <w:trPr>
          <w:trHeight w:val="197"/>
        </w:trPr>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716,060</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703,355</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w:t>
            </w:r>
          </w:p>
        </w:tc>
      </w:tr>
      <w:tr>
        <w:trPr>
          <w:trHeight w:val="197"/>
        </w:trPr>
        <w:tc>
          <w:tcPr>
            <w:tcW w:w="2420" w:type="dxa"/>
            <w:vAlign w:val="bottom"/>
            <w:gridSpan w:val="3"/>
          </w:tcPr>
          <w:p>
            <w:pPr>
              <w:jc w:val="right"/>
              <w:ind w:right="34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6"/>
                <w:szCs w:val="16"/>
                <w:color w:val="auto"/>
              </w:rPr>
              <w:t>733,109</w:t>
            </w:r>
          </w:p>
        </w:tc>
        <w:tc>
          <w:tcPr>
            <w:tcW w:w="2320" w:type="dxa"/>
            <w:vAlign w:val="bottom"/>
            <w:gridSpan w:val="2"/>
          </w:tcPr>
          <w:p>
            <w:pPr>
              <w:jc w:val="right"/>
              <w:ind w:right="240"/>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6"/>
                <w:szCs w:val="16"/>
                <w:color w:val="auto"/>
              </w:rPr>
              <w:t>720,102</w:t>
            </w:r>
          </w:p>
        </w:tc>
        <w:tc>
          <w:tcPr>
            <w:tcW w:w="224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r>
      <w:tr>
        <w:trPr>
          <w:trHeight w:val="197"/>
        </w:trPr>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750,158</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736,848</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0731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3150" cy="15875"/>
                    </a:xfrm>
                    <a:prstGeom prst="rect">
                      <a:avLst/>
                    </a:prstGeom>
                    <a:noFill/>
                  </pic:spPr>
                </pic:pic>
              </a:graphicData>
            </a:graphic>
          </wp:anchor>
        </w:drawing>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w:t>
        <w:tab/>
        <w:t>Net of income tax effect.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Non-GAAP Information</w:t>
      </w:r>
    </w:p>
    <w:p>
      <w:pPr>
        <w:spacing w:after="0" w:line="211" w:lineRule="exact"/>
        <w:rPr>
          <w:sz w:val="20"/>
          <w:szCs w:val="20"/>
          <w:color w:val="auto"/>
        </w:rPr>
      </w:pPr>
    </w:p>
    <w:p>
      <w:pPr>
        <w:ind w:right="20" w:firstLine="444"/>
        <w:spacing w:after="0" w:line="265" w:lineRule="auto"/>
        <w:rPr>
          <w:sz w:val="20"/>
          <w:szCs w:val="20"/>
          <w:color w:val="auto"/>
        </w:rPr>
      </w:pPr>
      <w:r>
        <w:rPr>
          <w:rFonts w:ascii="Arial" w:cs="Arial" w:eastAsia="Arial" w:hAnsi="Arial"/>
          <w:sz w:val="16"/>
          <w:szCs w:val="16"/>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69" w:lineRule="exact"/>
        <w:rPr>
          <w:sz w:val="20"/>
          <w:szCs w:val="20"/>
          <w:color w:val="auto"/>
        </w:rPr>
      </w:pPr>
    </w:p>
    <w:p>
      <w:pPr>
        <w:ind w:right="200" w:firstLine="444"/>
        <w:spacing w:after="0" w:line="273" w:lineRule="auto"/>
        <w:rPr>
          <w:sz w:val="20"/>
          <w:szCs w:val="20"/>
          <w:color w:val="auto"/>
        </w:rPr>
      </w:pPr>
      <w:r>
        <w:rPr>
          <w:rFonts w:ascii="Arial" w:cs="Arial" w:eastAsia="Arial" w:hAnsi="Arial"/>
          <w:sz w:val="16"/>
          <w:szCs w:val="16"/>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Premiums Written</w:t>
      </w:r>
    </w:p>
    <w:p>
      <w:pPr>
        <w:spacing w:after="0" w:line="211" w:lineRule="exact"/>
        <w:rPr>
          <w:sz w:val="20"/>
          <w:szCs w:val="20"/>
          <w:color w:val="auto"/>
        </w:rPr>
      </w:pPr>
    </w:p>
    <w:p>
      <w:pPr>
        <w:ind w:right="100" w:firstLine="444"/>
        <w:spacing w:after="0" w:line="287" w:lineRule="auto"/>
        <w:rPr>
          <w:sz w:val="20"/>
          <w:szCs w:val="20"/>
          <w:color w:val="auto"/>
        </w:rPr>
      </w:pPr>
      <w:r>
        <w:rPr>
          <w:rFonts w:ascii="Arial" w:cs="Arial" w:eastAsia="Arial" w:hAnsi="Arial"/>
          <w:sz w:val="15"/>
          <w:szCs w:val="15"/>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provides a reconciliation of our net premiums earned to our net premiums written for the three and nine months ended September 30, 2023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4100" w:type="dxa"/>
            <w:vAlign w:val="bottom"/>
            <w:gridSpan w:val="3"/>
          </w:tcPr>
          <w:p>
            <w:pPr>
              <w:spacing w:after="0"/>
              <w:rPr>
                <w:sz w:val="20"/>
                <w:szCs w:val="20"/>
                <w:color w:val="auto"/>
              </w:rPr>
            </w:pPr>
            <w:r>
              <w:rPr>
                <w:rFonts w:ascii="Arial" w:cs="Arial" w:eastAsia="Arial" w:hAnsi="Arial"/>
                <w:sz w:val="13"/>
                <w:szCs w:val="13"/>
                <w:i w:val="1"/>
                <w:iCs w:val="1"/>
                <w:color w:val="0000EE"/>
              </w:rPr>
              <w:t>Index</w:t>
            </w: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5"/>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4480" w:type="dxa"/>
            <w:vAlign w:val="bottom"/>
            <w:gridSpan w:val="7"/>
          </w:tcPr>
          <w:p>
            <w:pPr>
              <w:jc w:val="right"/>
              <w:ind w:right="23"/>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95"/>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258"/>
              <w:spacing w:after="0"/>
              <w:rPr>
                <w:sz w:val="20"/>
                <w:szCs w:val="20"/>
                <w:color w:val="auto"/>
              </w:rPr>
            </w:pPr>
            <w:r>
              <w:rPr>
                <w:rFonts w:ascii="Arial" w:cs="Arial" w:eastAsia="Arial" w:hAnsi="Arial"/>
                <w:sz w:val="16"/>
                <w:szCs w:val="16"/>
                <w:color w:val="auto"/>
              </w:rPr>
              <w:t>(in</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w w:val="72"/>
              </w:rPr>
              <w:t>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208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224,393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206,122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655,886</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609,499</w:t>
            </w: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Change in net unearned premiums</w:t>
            </w: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(5,207)</w:t>
            </w:r>
          </w:p>
        </w:tc>
        <w:tc>
          <w:tcPr>
            <w:tcW w:w="24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33,618</w:t>
            </w:r>
          </w:p>
        </w:tc>
      </w:tr>
      <w:tr>
        <w:trPr>
          <w:trHeight w:val="237"/>
        </w:trPr>
        <w:tc>
          <w:tcPr>
            <w:tcW w:w="20" w:type="dxa"/>
            <w:vAlign w:val="bottom"/>
          </w:tcPr>
          <w:p>
            <w:pPr>
              <w:spacing w:after="0"/>
              <w:rPr>
                <w:sz w:val="20"/>
                <w:szCs w:val="20"/>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premiums written</w:t>
            </w:r>
          </w:p>
        </w:tc>
        <w:tc>
          <w:tcPr>
            <w:tcW w:w="1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219,186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206,229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683,003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643,117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Statutory Combined Ratio</w:t>
      </w:r>
    </w:p>
    <w:p>
      <w:pPr>
        <w:spacing w:after="0" w:line="211" w:lineRule="exact"/>
        <w:rPr>
          <w:sz w:val="20"/>
          <w:szCs w:val="20"/>
          <w:color w:val="auto"/>
        </w:rPr>
      </w:pPr>
    </w:p>
    <w:p>
      <w:pPr>
        <w:jc w:val="both"/>
        <w:ind w:firstLine="444"/>
        <w:spacing w:after="0" w:line="273" w:lineRule="auto"/>
        <w:rPr>
          <w:sz w:val="20"/>
          <w:szCs w:val="20"/>
          <w:color w:val="auto"/>
        </w:rPr>
      </w:pPr>
      <w:r>
        <w:rPr>
          <w:rFonts w:ascii="Arial" w:cs="Arial" w:eastAsia="Arial" w:hAnsi="Arial"/>
          <w:sz w:val="16"/>
          <w:szCs w:val="16"/>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62" w:lineRule="exact"/>
        <w:rPr>
          <w:sz w:val="20"/>
          <w:szCs w:val="20"/>
          <w:color w:val="auto"/>
        </w:rPr>
      </w:pPr>
    </w:p>
    <w:p>
      <w:pPr>
        <w:jc w:val="both"/>
        <w:ind w:firstLine="444"/>
        <w:spacing w:after="0" w:line="289" w:lineRule="auto"/>
        <w:rPr>
          <w:sz w:val="20"/>
          <w:szCs w:val="20"/>
          <w:color w:val="auto"/>
        </w:rPr>
      </w:pPr>
      <w:r>
        <w:rPr>
          <w:rFonts w:ascii="Arial" w:cs="Arial" w:eastAsia="Arial" w:hAnsi="Arial"/>
          <w:sz w:val="16"/>
          <w:szCs w:val="16"/>
          <w:color w:val="auto"/>
        </w:rPr>
        <w:t>The statutory combined ratio is a non-GAAP financial measure that is based upon amounts determined under SAP. We calculate our statutory combined ratio as the sum of:</w:t>
      </w:r>
    </w:p>
    <w:p>
      <w:pPr>
        <w:spacing w:after="0" w:line="149" w:lineRule="exact"/>
        <w:rPr>
          <w:sz w:val="20"/>
          <w:szCs w:val="20"/>
          <w:color w:val="auto"/>
        </w:rPr>
      </w:pPr>
    </w:p>
    <w:p>
      <w:pPr>
        <w:ind w:left="780" w:hanging="300"/>
        <w:spacing w:after="0" w:line="264"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statutory loss ratio, which is the ratio of calendar-year net incurred losses and loss expenses, excluding anticipated salvage and subrogation recoveries, to net premiums earned;</w:t>
      </w:r>
    </w:p>
    <w:p>
      <w:pPr>
        <w:spacing w:after="0" w:line="1" w:lineRule="exact"/>
        <w:rPr>
          <w:rFonts w:ascii="Arial" w:cs="Arial" w:eastAsia="Arial" w:hAnsi="Arial"/>
          <w:sz w:val="16"/>
          <w:szCs w:val="16"/>
          <w:color w:val="auto"/>
        </w:rPr>
      </w:pPr>
    </w:p>
    <w:p>
      <w:pPr>
        <w:ind w:left="780" w:hanging="300"/>
        <w:spacing w:after="0" w:line="257"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statutory expense ratio, which is the ratio of expenses incurred for net commissions, premium taxes and underwriting expenses to net premiums written; and</w:t>
      </w:r>
    </w:p>
    <w:p>
      <w:pPr>
        <w:ind w:left="780" w:hanging="300"/>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statutory dividend ratio, which is the ratio of dividends to holders of workers’ compensation policies to net premiums earned.</w:t>
      </w:r>
    </w:p>
    <w:p>
      <w:pPr>
        <w:spacing w:after="0" w:line="200" w:lineRule="exact"/>
        <w:rPr>
          <w:sz w:val="20"/>
          <w:szCs w:val="20"/>
          <w:color w:val="auto"/>
        </w:rPr>
      </w:pPr>
    </w:p>
    <w:p>
      <w:pPr>
        <w:jc w:val="both"/>
        <w:ind w:firstLine="444"/>
        <w:spacing w:after="0" w:line="299" w:lineRule="auto"/>
        <w:rPr>
          <w:sz w:val="20"/>
          <w:szCs w:val="20"/>
          <w:color w:val="auto"/>
        </w:rPr>
      </w:pPr>
      <w:r>
        <w:rPr>
          <w:rFonts w:ascii="Arial" w:cs="Arial" w:eastAsia="Arial" w:hAnsi="Arial"/>
          <w:sz w:val="15"/>
          <w:szCs w:val="15"/>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Combined Ratios</w:t>
      </w:r>
    </w:p>
    <w:p>
      <w:pPr>
        <w:spacing w:after="0" w:line="211" w:lineRule="exact"/>
        <w:rPr>
          <w:sz w:val="20"/>
          <w:szCs w:val="20"/>
          <w:color w:val="auto"/>
        </w:rPr>
      </w:pPr>
    </w:p>
    <w:p>
      <w:pPr>
        <w:ind w:right="80" w:firstLine="444"/>
        <w:spacing w:after="0" w:line="289" w:lineRule="auto"/>
        <w:rPr>
          <w:sz w:val="20"/>
          <w:szCs w:val="20"/>
          <w:color w:val="auto"/>
        </w:rPr>
      </w:pPr>
      <w:r>
        <w:rPr>
          <w:rFonts w:ascii="Arial" w:cs="Arial" w:eastAsia="Arial" w:hAnsi="Arial"/>
          <w:sz w:val="16"/>
          <w:szCs w:val="16"/>
          <w:color w:val="auto"/>
        </w:rPr>
        <w:t>The following table presents comparative details with respect to our GAAP and statutory combined ratios for the three and nine months ended September 30, 2023 and 2022: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6540" w:type="dxa"/>
            <w:vAlign w:val="bottom"/>
            <w:gridSpan w:val="4"/>
          </w:tcPr>
          <w:p>
            <w:pPr>
              <w:spacing w:after="0"/>
              <w:rPr>
                <w:sz w:val="20"/>
                <w:szCs w:val="20"/>
                <w:color w:val="auto"/>
              </w:rPr>
            </w:pPr>
            <w:r>
              <w:rPr>
                <w:rFonts w:ascii="Arial" w:cs="Arial" w:eastAsia="Arial" w:hAnsi="Arial"/>
                <w:sz w:val="13"/>
                <w:szCs w:val="13"/>
                <w:i w:val="1"/>
                <w:iCs w:val="1"/>
                <w:color w:val="0000EE"/>
              </w:rPr>
              <w:t>Index</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80" w:type="dxa"/>
            <w:vAlign w:val="bottom"/>
          </w:tcPr>
          <w:p>
            <w:pPr>
              <w:spacing w:after="0"/>
              <w:rPr>
                <w:sz w:val="24"/>
                <w:szCs w:val="24"/>
                <w:color w:val="auto"/>
              </w:rPr>
            </w:pPr>
          </w:p>
        </w:tc>
        <w:tc>
          <w:tcPr>
            <w:tcW w:w="282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w w:val="93"/>
              </w:rPr>
              <w:t>Three Months Ended September 30,</w:t>
            </w:r>
          </w:p>
        </w:tc>
        <w:tc>
          <w:tcPr>
            <w:tcW w:w="264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
          </w:tcPr>
          <w:p>
            <w:pPr>
              <w:spacing w:after="0"/>
              <w:rPr>
                <w:sz w:val="20"/>
                <w:szCs w:val="20"/>
                <w:color w:val="auto"/>
              </w:rPr>
            </w:pPr>
            <w:r>
              <w:rPr>
                <w:rFonts w:ascii="Arial" w:cs="Arial" w:eastAsia="Arial" w:hAnsi="Arial"/>
                <w:sz w:val="16"/>
                <w:szCs w:val="16"/>
                <w:b w:val="1"/>
                <w:bCs w:val="1"/>
                <w:color w:val="auto"/>
              </w:rPr>
              <w:t>GAAP Combined Ratios (Total Lines)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ratio - core losses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tcPr>
          <w:p>
            <w:pPr>
              <w:spacing w:after="0"/>
              <w:rPr>
                <w:sz w:val="20"/>
                <w:szCs w:val="20"/>
                <w:color w:val="auto"/>
              </w:rPr>
            </w:pPr>
            <w:r>
              <w:rPr>
                <w:rFonts w:ascii="Arial" w:cs="Arial" w:eastAsia="Arial" w:hAnsi="Arial"/>
                <w:sz w:val="16"/>
                <w:szCs w:val="16"/>
                <w:color w:val="auto"/>
              </w:rPr>
              <w:t>Loss ratio - weather-related losses</w:t>
            </w:r>
          </w:p>
        </w:tc>
        <w:tc>
          <w:tcPr>
            <w:tcW w:w="400" w:type="dxa"/>
            <w:vAlign w:val="bottom"/>
          </w:tcPr>
          <w:p>
            <w:pPr>
              <w:jc w:val="right"/>
              <w:spacing w:after="0"/>
              <w:rPr>
                <w:sz w:val="20"/>
                <w:szCs w:val="20"/>
                <w:color w:val="auto"/>
              </w:rPr>
            </w:pPr>
            <w:r>
              <w:rPr>
                <w:rFonts w:ascii="Arial" w:cs="Arial" w:eastAsia="Arial" w:hAnsi="Arial"/>
                <w:sz w:val="16"/>
                <w:szCs w:val="16"/>
                <w:color w:val="auto"/>
              </w:rPr>
              <w:t>11.5</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9.4</w:t>
            </w: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ratio - large fire losses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gridSpan w:val="3"/>
          </w:tcPr>
          <w:p>
            <w:pPr>
              <w:spacing w:after="0"/>
              <w:rPr>
                <w:sz w:val="20"/>
                <w:szCs w:val="20"/>
                <w:color w:val="auto"/>
              </w:rPr>
            </w:pPr>
            <w:r>
              <w:rPr>
                <w:rFonts w:ascii="Arial" w:cs="Arial" w:eastAsia="Arial" w:hAnsi="Arial"/>
                <w:sz w:val="16"/>
                <w:szCs w:val="16"/>
                <w:color w:val="auto"/>
              </w:rPr>
              <w:t>Loss ratio - net prior-year reserve development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ratio</w:t>
            </w: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tcPr>
          <w:p>
            <w:pPr>
              <w:spacing w:after="0"/>
              <w:rPr>
                <w:sz w:val="20"/>
                <w:szCs w:val="20"/>
                <w:color w:val="auto"/>
              </w:rPr>
            </w:pPr>
            <w:r>
              <w:rPr>
                <w:rFonts w:ascii="Arial" w:cs="Arial" w:eastAsia="Arial" w:hAnsi="Arial"/>
                <w:sz w:val="16"/>
                <w:szCs w:val="16"/>
                <w:color w:val="auto"/>
              </w:rPr>
              <w:t>Expense ratio</w:t>
            </w:r>
          </w:p>
        </w:tc>
        <w:tc>
          <w:tcPr>
            <w:tcW w:w="400" w:type="dxa"/>
            <w:vAlign w:val="bottom"/>
          </w:tcPr>
          <w:p>
            <w:pPr>
              <w:jc w:val="right"/>
              <w:spacing w:after="0"/>
              <w:rPr>
                <w:sz w:val="20"/>
                <w:szCs w:val="20"/>
                <w:color w:val="auto"/>
              </w:rPr>
            </w:pPr>
            <w:r>
              <w:rPr>
                <w:rFonts w:ascii="Arial" w:cs="Arial" w:eastAsia="Arial" w:hAnsi="Arial"/>
                <w:sz w:val="16"/>
                <w:szCs w:val="16"/>
                <w:color w:val="auto"/>
              </w:rPr>
              <w:t>34.1</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33.4</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34.9</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 ratio</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6"/>
                <w:szCs w:val="16"/>
                <w:color w:val="auto"/>
              </w:rPr>
              <w:t>Combined ratio</w:t>
            </w:r>
          </w:p>
        </w:tc>
        <w:tc>
          <w:tcPr>
            <w:tcW w:w="7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104.5%</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109.6%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103.5%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40" w:type="dxa"/>
            <w:vAlign w:val="bottom"/>
            <w:gridSpan w:val="2"/>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520" w:type="dxa"/>
            <w:vAlign w:val="bottom"/>
            <w:gridSpan w:val="3"/>
          </w:tcPr>
          <w:p>
            <w:pPr>
              <w:spacing w:after="0"/>
              <w:rPr>
                <w:sz w:val="20"/>
                <w:szCs w:val="20"/>
                <w:color w:val="auto"/>
              </w:rPr>
            </w:pPr>
            <w:r>
              <w:rPr>
                <w:rFonts w:ascii="Arial" w:cs="Arial" w:eastAsia="Arial" w:hAnsi="Arial"/>
                <w:sz w:val="16"/>
                <w:szCs w:val="16"/>
                <w:b w:val="1"/>
                <w:bCs w:val="1"/>
                <w:color w:val="auto"/>
              </w:rPr>
              <w:t>Statutory Combined Ratios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Commercial lines:</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tcPr>
          <w:p>
            <w:pPr>
              <w:ind w:left="120"/>
              <w:spacing w:after="0"/>
              <w:rPr>
                <w:sz w:val="20"/>
                <w:szCs w:val="20"/>
                <w:color w:val="auto"/>
              </w:rPr>
            </w:pPr>
            <w:r>
              <w:rPr>
                <w:rFonts w:ascii="Arial" w:cs="Arial" w:eastAsia="Arial" w:hAnsi="Arial"/>
                <w:sz w:val="16"/>
                <w:szCs w:val="16"/>
                <w:color w:val="auto"/>
              </w:rPr>
              <w:t>Automobile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86.5%</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107.0%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94.8%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Workers’ compensation</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105.9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93.1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tcPr>
          <w:p>
            <w:pPr>
              <w:ind w:left="120"/>
              <w:spacing w:after="0"/>
              <w:rPr>
                <w:sz w:val="20"/>
                <w:szCs w:val="20"/>
                <w:color w:val="auto"/>
              </w:rPr>
            </w:pPr>
            <w:r>
              <w:rPr>
                <w:rFonts w:ascii="Arial" w:cs="Arial" w:eastAsia="Arial" w:hAnsi="Arial"/>
                <w:sz w:val="16"/>
                <w:szCs w:val="16"/>
                <w:color w:val="auto"/>
              </w:rPr>
              <w:t>Commercial multi-peril</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114.8</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113.8</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Total commercial lines</w:t>
            </w:r>
          </w:p>
        </w:tc>
        <w:tc>
          <w:tcPr>
            <w:tcW w:w="400" w:type="dxa"/>
            <w:vAlign w:val="bottom"/>
          </w:tcPr>
          <w:p>
            <w:pPr>
              <w:jc w:val="right"/>
              <w:spacing w:after="0"/>
              <w:rPr>
                <w:sz w:val="20"/>
                <w:szCs w:val="20"/>
                <w:color w:val="auto"/>
              </w:rPr>
            </w:pPr>
            <w:r>
              <w:rPr>
                <w:rFonts w:ascii="Arial" w:cs="Arial" w:eastAsia="Arial" w:hAnsi="Arial"/>
                <w:sz w:val="16"/>
                <w:szCs w:val="16"/>
                <w:color w:val="auto"/>
              </w:rPr>
              <w:t>97.5</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112.1</w:t>
            </w:r>
          </w:p>
        </w:tc>
        <w:tc>
          <w:tcPr>
            <w:tcW w:w="1120" w:type="dxa"/>
            <w:vAlign w:val="bottom"/>
          </w:tcPr>
          <w:p>
            <w:pPr>
              <w:jc w:val="right"/>
              <w:spacing w:after="0"/>
              <w:rPr>
                <w:sz w:val="20"/>
                <w:szCs w:val="20"/>
                <w:color w:val="auto"/>
              </w:rPr>
            </w:pPr>
            <w:r>
              <w:rPr>
                <w:rFonts w:ascii="Arial" w:cs="Arial" w:eastAsia="Arial" w:hAnsi="Arial"/>
                <w:sz w:val="16"/>
                <w:szCs w:val="16"/>
                <w:color w:val="auto"/>
              </w:rPr>
              <w:t>100.2</w:t>
            </w:r>
          </w:p>
        </w:tc>
        <w:tc>
          <w:tcPr>
            <w:tcW w:w="2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tcPr>
          <w:p>
            <w:pPr>
              <w:ind w:left="120"/>
              <w:spacing w:after="0"/>
              <w:rPr>
                <w:sz w:val="20"/>
                <w:szCs w:val="20"/>
                <w:color w:val="auto"/>
              </w:rPr>
            </w:pPr>
            <w:r>
              <w:rPr>
                <w:rFonts w:ascii="Arial" w:cs="Arial" w:eastAsia="Arial" w:hAnsi="Arial"/>
                <w:sz w:val="16"/>
                <w:szCs w:val="16"/>
                <w:color w:val="auto"/>
              </w:rPr>
              <w:t>Automobile</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109.8</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103.1</w:t>
            </w:r>
          </w:p>
        </w:tc>
        <w:tc>
          <w:tcPr>
            <w:tcW w:w="1120" w:type="dxa"/>
            <w:vAlign w:val="bottom"/>
          </w:tcPr>
          <w:p>
            <w:pPr>
              <w:jc w:val="right"/>
              <w:spacing w:after="0"/>
              <w:rPr>
                <w:sz w:val="20"/>
                <w:szCs w:val="20"/>
                <w:color w:val="auto"/>
              </w:rPr>
            </w:pPr>
            <w:r>
              <w:rPr>
                <w:rFonts w:ascii="Arial" w:cs="Arial" w:eastAsia="Arial" w:hAnsi="Arial"/>
                <w:sz w:val="16"/>
                <w:szCs w:val="16"/>
                <w:color w:val="auto"/>
              </w:rPr>
              <w:t>106.1</w:t>
            </w:r>
          </w:p>
        </w:tc>
        <w:tc>
          <w:tcPr>
            <w:tcW w:w="2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Homeowners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128.9</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125.0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gridSpan w:val="3"/>
          </w:tcPr>
          <w:p>
            <w:pPr>
              <w:ind w:left="120"/>
              <w:spacing w:after="0"/>
              <w:rPr>
                <w:sz w:val="20"/>
                <w:szCs w:val="20"/>
                <w:color w:val="auto"/>
              </w:rPr>
            </w:pPr>
            <w:r>
              <w:rPr>
                <w:rFonts w:ascii="Arial" w:cs="Arial" w:eastAsia="Arial" w:hAnsi="Arial"/>
                <w:sz w:val="16"/>
                <w:szCs w:val="16"/>
                <w:color w:val="auto"/>
              </w:rPr>
              <w:t>Other</w:t>
            </w:r>
          </w:p>
        </w:tc>
        <w:tc>
          <w:tcPr>
            <w:tcW w:w="400" w:type="dxa"/>
            <w:vAlign w:val="bottom"/>
          </w:tcPr>
          <w:p>
            <w:pPr>
              <w:jc w:val="right"/>
              <w:spacing w:after="0"/>
              <w:rPr>
                <w:sz w:val="20"/>
                <w:szCs w:val="20"/>
                <w:color w:val="auto"/>
              </w:rPr>
            </w:pPr>
            <w:r>
              <w:rPr>
                <w:rFonts w:ascii="Arial" w:cs="Arial" w:eastAsia="Arial" w:hAnsi="Arial"/>
                <w:sz w:val="16"/>
                <w:szCs w:val="16"/>
                <w:color w:val="auto"/>
              </w:rPr>
              <w:t>46.4</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54.6</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81.3</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personal lines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119.4</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Total commercial and personal lines</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105.2</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110.1</w:t>
            </w:r>
          </w:p>
        </w:tc>
        <w:tc>
          <w:tcPr>
            <w:tcW w:w="1120" w:type="dxa"/>
            <w:vAlign w:val="bottom"/>
          </w:tcPr>
          <w:p>
            <w:pPr>
              <w:jc w:val="right"/>
              <w:spacing w:after="0"/>
              <w:rPr>
                <w:sz w:val="20"/>
                <w:szCs w:val="20"/>
                <w:color w:val="auto"/>
              </w:rPr>
            </w:pPr>
            <w:r>
              <w:rPr>
                <w:rFonts w:ascii="Arial" w:cs="Arial" w:eastAsia="Arial" w:hAnsi="Arial"/>
                <w:sz w:val="16"/>
                <w:szCs w:val="16"/>
                <w:color w:val="auto"/>
              </w:rPr>
              <w:t>102.9</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508"/>
        </w:trPr>
        <w:tc>
          <w:tcPr>
            <w:tcW w:w="5780" w:type="dxa"/>
            <w:vAlign w:val="bottom"/>
            <w:gridSpan w:val="3"/>
          </w:tcPr>
          <w:p>
            <w:pPr>
              <w:jc w:val="right"/>
              <w:ind w:right="18"/>
              <w:spacing w:after="0"/>
              <w:rPr>
                <w:sz w:val="20"/>
                <w:szCs w:val="20"/>
                <w:color w:val="auto"/>
              </w:rPr>
            </w:pPr>
            <w:r>
              <w:rPr>
                <w:rFonts w:ascii="Arial" w:cs="Arial" w:eastAsia="Arial" w:hAnsi="Arial"/>
                <w:sz w:val="13"/>
                <w:szCs w:val="13"/>
                <w:color w:val="auto"/>
              </w:rPr>
              <w:t>28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September 30, 2023 Compared to Three Months Ended September 30, 2022</w:t>
      </w:r>
    </w:p>
    <w:p>
      <w:pPr>
        <w:spacing w:after="0" w:line="215" w:lineRule="exact"/>
        <w:rPr>
          <w:sz w:val="20"/>
          <w:szCs w:val="20"/>
          <w:color w:val="auto"/>
        </w:rPr>
      </w:pPr>
    </w:p>
    <w:p>
      <w:pPr>
        <w:ind w:right="220" w:firstLine="444"/>
        <w:spacing w:after="0" w:line="289" w:lineRule="auto"/>
        <w:rPr>
          <w:sz w:val="20"/>
          <w:szCs w:val="20"/>
          <w:color w:val="auto"/>
        </w:rPr>
      </w:pPr>
      <w:r>
        <w:rPr>
          <w:rFonts w:ascii="Arial" w:cs="Arial" w:eastAsia="Arial" w:hAnsi="Arial"/>
          <w:sz w:val="16"/>
          <w:szCs w:val="16"/>
          <w:i w:val="1"/>
          <w:iCs w:val="1"/>
          <w:color w:val="auto"/>
        </w:rPr>
        <w:t xml:space="preserve">Net Premiums Earned. </w:t>
      </w:r>
      <w:r>
        <w:rPr>
          <w:rFonts w:ascii="Arial" w:cs="Arial" w:eastAsia="Arial" w:hAnsi="Arial"/>
          <w:sz w:val="16"/>
          <w:szCs w:val="16"/>
          <w:color w:val="auto"/>
        </w:rPr>
        <w:t>Our insurance subsidiaries’ net premiums earned for the third quarter of 2023 were $224.4 million, an increase of $18.3 million, or 8.9%,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$206.1 million for the third quarter of 2022, primarily reflecting solid premium retention and renewal premium increases.</w:t>
      </w:r>
    </w:p>
    <w:p>
      <w:pPr>
        <w:spacing w:after="0" w:line="149" w:lineRule="exact"/>
        <w:rPr>
          <w:sz w:val="20"/>
          <w:szCs w:val="20"/>
          <w:color w:val="auto"/>
        </w:rPr>
      </w:pPr>
    </w:p>
    <w:p>
      <w:pPr>
        <w:ind w:right="200" w:firstLine="444"/>
        <w:spacing w:after="0" w:line="284" w:lineRule="auto"/>
        <w:rPr>
          <w:sz w:val="20"/>
          <w:szCs w:val="20"/>
          <w:color w:val="auto"/>
        </w:rPr>
      </w:pPr>
      <w:r>
        <w:rPr>
          <w:rFonts w:ascii="Arial" w:cs="Arial" w:eastAsia="Arial" w:hAnsi="Arial"/>
          <w:sz w:val="15"/>
          <w:szCs w:val="15"/>
          <w:i w:val="1"/>
          <w:iCs w:val="1"/>
          <w:color w:val="auto"/>
        </w:rPr>
        <w:t xml:space="preserve">Net Premiums Written. </w:t>
      </w:r>
      <w:r>
        <w:rPr>
          <w:rFonts w:ascii="Arial" w:cs="Arial" w:eastAsia="Arial" w:hAnsi="Arial"/>
          <w:sz w:val="15"/>
          <w:szCs w:val="15"/>
          <w:color w:val="auto"/>
        </w:rPr>
        <w:t>Our insurance subsidiaries’ net premiums written for the third quarter of 2023 were $219.2 million, an increase of $13.0 million, or 6.3%,</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$206.2 million of net premiums written for the third quarter of 2022. Commercial lines net premiums written decreased $2.1 million, or 1.8%, for the third quarter of 2023 compared to the third quarter of 2022. Personal lines net premiums written increased $15.1 million, or 17.7%, for the third quarter of 2023 compared to the third quarter of 2022. We attribute the decrease in commercial lines net premiums written primarily to planned attrition in states we are exiting or have targeted for profit improvement and lower new business writings, offset partially by strong premium retention and a continuation of renewal premium increases in lines other than workers’ compensation. We attribute the increase in personal lines net premiums written primarily to renewal premium increases and strong policy retention.</w:t>
      </w:r>
    </w:p>
    <w:p>
      <w:pPr>
        <w:spacing w:after="0" w:line="157" w:lineRule="exact"/>
        <w:rPr>
          <w:sz w:val="20"/>
          <w:szCs w:val="20"/>
          <w:color w:val="auto"/>
        </w:rPr>
      </w:pPr>
    </w:p>
    <w:p>
      <w:pPr>
        <w:ind w:right="80" w:firstLine="444"/>
        <w:spacing w:after="0" w:line="289"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Our net investment income was $10.5 million for the third quarter of 2023, an increase of $1.9 million, or 23.0%, compared to $8.6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2022. We attribute the increase primarily to an increase in the average investment yield relative to the third quarter of 2022.</w:t>
      </w:r>
    </w:p>
    <w:p>
      <w:pPr>
        <w:spacing w:after="0" w:line="149" w:lineRule="exact"/>
        <w:rPr>
          <w:sz w:val="20"/>
          <w:szCs w:val="20"/>
          <w:color w:val="auto"/>
        </w:rPr>
      </w:pPr>
    </w:p>
    <w:p>
      <w:pPr>
        <w:jc w:val="both"/>
        <w:ind w:right="20" w:firstLine="444"/>
        <w:spacing w:after="0" w:line="329" w:lineRule="auto"/>
        <w:rPr>
          <w:sz w:val="20"/>
          <w:szCs w:val="20"/>
          <w:color w:val="auto"/>
        </w:rPr>
      </w:pPr>
      <w:r>
        <w:rPr>
          <w:rFonts w:ascii="Arial" w:cs="Arial" w:eastAsia="Arial" w:hAnsi="Arial"/>
          <w:sz w:val="14"/>
          <w:szCs w:val="14"/>
          <w:i w:val="1"/>
          <w:iCs w:val="1"/>
          <w:color w:val="auto"/>
        </w:rPr>
        <w:t xml:space="preserve">Net Investment Losses. </w:t>
      </w:r>
      <w:r>
        <w:rPr>
          <w:rFonts w:ascii="Arial" w:cs="Arial" w:eastAsia="Arial" w:hAnsi="Arial"/>
          <w:sz w:val="14"/>
          <w:szCs w:val="14"/>
          <w:color w:val="auto"/>
        </w:rPr>
        <w:t>Net investment losses for the third quarters of 2023 and 2022 were $1.2 million and $2.4 million, respectively. The net investment losses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third quarters of 2023 and 2022, respectively, resulted primarily from the net change in unrealized gains and losses within our equity securities portfolio at September 30, 2023 and 2022, respectively. We did not recognize any impairment losses for individual securities in our investment portfolio during the third quarter of 2023 or 2022.</w:t>
      </w:r>
    </w:p>
    <w:p>
      <w:pPr>
        <w:spacing w:after="0" w:line="127" w:lineRule="exact"/>
        <w:rPr>
          <w:sz w:val="20"/>
          <w:szCs w:val="20"/>
          <w:color w:val="auto"/>
        </w:rPr>
      </w:pPr>
    </w:p>
    <w:p>
      <w:pPr>
        <w:ind w:firstLine="444"/>
        <w:spacing w:after="0" w:line="278" w:lineRule="auto"/>
        <w:rPr>
          <w:sz w:val="20"/>
          <w:szCs w:val="20"/>
          <w:color w:val="auto"/>
        </w:rPr>
      </w:pPr>
      <w:r>
        <w:rPr>
          <w:rFonts w:ascii="Arial" w:cs="Arial" w:eastAsia="Arial" w:hAnsi="Arial"/>
          <w:sz w:val="15"/>
          <w:szCs w:val="15"/>
          <w:i w:val="1"/>
          <w:iCs w:val="1"/>
          <w:color w:val="auto"/>
        </w:rPr>
        <w:t xml:space="preserve">Losses and Loss Expenses. </w:t>
      </w:r>
      <w:r>
        <w:rPr>
          <w:rFonts w:ascii="Arial" w:cs="Arial" w:eastAsia="Arial" w:hAnsi="Arial"/>
          <w:sz w:val="15"/>
          <w:szCs w:val="15"/>
          <w:color w:val="auto"/>
        </w:rPr>
        <w:t>Our insurance subsidiaries’ loss ratio, which is the ratio of incurred losses and loss expenses to premiums earned, was 69.8%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third quarter of 2023, a decrease from our insurance subsidiaries’ loss ratio of 75.6% for the third quarter of 2022. We attribute this decrease primarily to decreased core losses and large fire losses, which we define as individual fire losses in excess of $50,000, offset partially by increased weather-related losses. Loss ratios for both periods for the automobile and property lines of business reflected the impact of higher costs of labor, parts and materials. Weather-related losses were $25.7 million, or 11.5 percentage points of the loss ratio, for the third quarter of 2023, compared to $19.4 million, or 9.4 percentage points of the loss ratio, for the third quarter of 2022. The impact of weather-related loss activity to the loss ratio for the third quarter of 2023 was higher than our previous five-year average of 9.3 percentage points for third quarter weather-related losses and the highest quarterly impact we have experienced over the past five years. Large fire losses for the third quarter of 2023 were $11.0 million, or 4.9 percentage points of the loss ratio, compared to $17.4 million, or 8.4 percentage points of the loss ratio, for the third quarter of 2022. On a statutory basis, our insurance subsidiaries’ commercial lines loss ratio was 60.9% for the third quarter of 2023, compared to 74.9% for the third quarter of 2022, primarily due to decreases in the commercial automobile, workers’ compensation and commercial multi-peril loss ratios. The personal lines statutory loss ratio of our insurance subsidiaries increased to 86.8% for the third quarter of 2023, compared to 78.7% for the third quarter of 2022. We attribute this increase primarily to an increase in the personal automobile and homeowners loss ratios. Our insurance subsidiaries experienced favorable loss reserve development for the third quarter of 2023 of approximately $7.3 million that decreased the loss ratio by 3.3 percentage points, compared to $6.2 million that decreased the loss ratio for the third quarter of 2022 by 3.0 percentage points. Our insurance subsidiaries experienced favorable development primarily in the commercial automobile, personal automobile and other commercial lines of business for the third quarter of 2023, with the majority of the impact relating to reserves for accident years 2019 through 2022.</w:t>
      </w:r>
    </w:p>
    <w:p>
      <w:pPr>
        <w:spacing w:after="0" w:line="161" w:lineRule="exact"/>
        <w:rPr>
          <w:sz w:val="20"/>
          <w:szCs w:val="20"/>
          <w:color w:val="auto"/>
        </w:rPr>
      </w:pPr>
    </w:p>
    <w:p>
      <w:pPr>
        <w:ind w:right="20" w:firstLine="444"/>
        <w:spacing w:after="0" w:line="299" w:lineRule="auto"/>
        <w:rPr>
          <w:sz w:val="20"/>
          <w:szCs w:val="20"/>
          <w:color w:val="auto"/>
        </w:rPr>
      </w:pPr>
      <w:r>
        <w:rPr>
          <w:rFonts w:ascii="Arial" w:cs="Arial" w:eastAsia="Arial" w:hAnsi="Arial"/>
          <w:sz w:val="15"/>
          <w:szCs w:val="15"/>
          <w:i w:val="1"/>
          <w:iCs w:val="1"/>
          <w:color w:val="auto"/>
        </w:rPr>
        <w:t xml:space="preserve">Underwriting Expenses. </w:t>
      </w:r>
      <w:r>
        <w:rPr>
          <w:rFonts w:ascii="Arial" w:cs="Arial" w:eastAsia="Arial" w:hAnsi="Arial"/>
          <w:sz w:val="15"/>
          <w:szCs w:val="15"/>
          <w:color w:val="auto"/>
        </w:rPr>
        <w:t>The expense ratio for an insurance company is the ratio of policy acquisition costs and other underwriting expenses to premiums earned.</w:t>
      </w:r>
      <w:r>
        <w:rPr>
          <w:rFonts w:ascii="Arial" w:cs="Arial" w:eastAsia="Arial" w:hAnsi="Arial"/>
          <w:sz w:val="15"/>
          <w:szCs w:val="15"/>
          <w:i w:val="1"/>
          <w:iCs w:val="1"/>
          <w:color w:val="auto"/>
        </w:rPr>
        <w:t xml:space="preserve"> </w:t>
      </w:r>
      <w:r>
        <w:rPr>
          <w:rFonts w:ascii="Arial" w:cs="Arial" w:eastAsia="Arial" w:hAnsi="Arial"/>
          <w:sz w:val="15"/>
          <w:szCs w:val="15"/>
          <w:color w:val="auto"/>
        </w:rPr>
        <w:t>The expense ratio of our insurance subsidiaries was 34.1% for the third quarter of 2023, compared to 33.4% for the third quarter of 2022. The increase in the expense ratio primarily reflected higher technology costs related to our ongoing systems modernization initiatives for the third quarter of 2023 compared to the prior-year quarter.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2" w:lineRule="exact"/>
        <w:rPr>
          <w:sz w:val="20"/>
          <w:szCs w:val="20"/>
          <w:color w:val="auto"/>
        </w:rPr>
      </w:pPr>
    </w:p>
    <w:p>
      <w:pPr>
        <w:ind w:right="100" w:firstLine="444"/>
        <w:spacing w:after="0" w:line="299" w:lineRule="auto"/>
        <w:rPr>
          <w:sz w:val="20"/>
          <w:szCs w:val="20"/>
          <w:color w:val="auto"/>
        </w:rPr>
      </w:pPr>
      <w:r>
        <w:rPr>
          <w:rFonts w:ascii="Arial" w:cs="Arial" w:eastAsia="Arial" w:hAnsi="Arial"/>
          <w:sz w:val="15"/>
          <w:szCs w:val="15"/>
          <w:i w:val="1"/>
          <w:iCs w:val="1"/>
          <w:color w:val="auto"/>
        </w:rPr>
        <w:t xml:space="preserve">Combined Ratio. </w:t>
      </w:r>
      <w:r>
        <w:rPr>
          <w:rFonts w:ascii="Arial" w:cs="Arial" w:eastAsia="Arial" w:hAnsi="Arial"/>
          <w:sz w:val="15"/>
          <w:szCs w:val="15"/>
          <w:color w:val="auto"/>
        </w:rPr>
        <w:t>The combined ratio represents the sum of the loss ratio, the expense ratio and the dividend ratio, which is the ratio of policyholder dividends</w:t>
      </w:r>
      <w:r>
        <w:rPr>
          <w:rFonts w:ascii="Arial" w:cs="Arial" w:eastAsia="Arial" w:hAnsi="Arial"/>
          <w:sz w:val="15"/>
          <w:szCs w:val="15"/>
          <w:i w:val="1"/>
          <w:iCs w:val="1"/>
          <w:color w:val="auto"/>
        </w:rPr>
        <w:t xml:space="preserve"> </w:t>
      </w:r>
      <w:r>
        <w:rPr>
          <w:rFonts w:ascii="Arial" w:cs="Arial" w:eastAsia="Arial" w:hAnsi="Arial"/>
          <w:sz w:val="15"/>
          <w:szCs w:val="15"/>
          <w:color w:val="auto"/>
        </w:rPr>
        <w:t>incurred to premiums earned. Our insurance subsidiaries’ combined ratios were 104.5% and 109.6% for the third quarter of 2023 and 2022, respectively. We attribute the decrease in the combined ratio primarily to a decrease in the loss ratio for the third quarter of 2023 compared to the third quarter of 2022.</w:t>
      </w:r>
    </w:p>
    <w:p>
      <w:pPr>
        <w:spacing w:after="0" w:line="145" w:lineRule="exact"/>
        <w:rPr>
          <w:sz w:val="20"/>
          <w:szCs w:val="20"/>
          <w:color w:val="auto"/>
        </w:rPr>
      </w:pPr>
    </w:p>
    <w:p>
      <w:pPr>
        <w:ind w:right="180" w:firstLine="444"/>
        <w:spacing w:after="0" w:line="289"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We recorded an income tax benefit of $199,613 and $3.0 million for the third quarter of 2023 and 2022, respectively. The income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third quarter of 2023 and 2022 represented estimates based on our projected annual taxable income and effective tax rates.</w:t>
      </w:r>
    </w:p>
    <w:p>
      <w:pPr>
        <w:spacing w:after="0" w:line="149" w:lineRule="exact"/>
        <w:rPr>
          <w:sz w:val="20"/>
          <w:szCs w:val="20"/>
          <w:color w:val="auto"/>
        </w:rPr>
      </w:pPr>
    </w:p>
    <w:p>
      <w:pPr>
        <w:ind w:firstLine="444"/>
        <w:spacing w:after="0" w:line="268" w:lineRule="auto"/>
        <w:rPr>
          <w:sz w:val="20"/>
          <w:szCs w:val="20"/>
          <w:color w:val="auto"/>
        </w:rPr>
      </w:pPr>
      <w:r>
        <w:rPr>
          <w:rFonts w:ascii="Arial" w:cs="Arial" w:eastAsia="Arial" w:hAnsi="Arial"/>
          <w:sz w:val="16"/>
          <w:szCs w:val="16"/>
          <w:i w:val="1"/>
          <w:iCs w:val="1"/>
          <w:color w:val="auto"/>
        </w:rPr>
        <w:t xml:space="preserve">Net Loss and Net Loss Per Share. </w:t>
      </w:r>
      <w:r>
        <w:rPr>
          <w:rFonts w:ascii="Arial" w:cs="Arial" w:eastAsia="Arial" w:hAnsi="Arial"/>
          <w:sz w:val="16"/>
          <w:szCs w:val="16"/>
          <w:color w:val="auto"/>
        </w:rPr>
        <w:t>Our net loss for the third quarter of 2023 was $805,301, or $.02 per share of Class A common stock and $.02 per share of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compared to a net loss of $10.4 million, or $.33 per share of Class A common stock and $.30 per share of Class B common stock, for the third quarter of 2022. We had 27.6 million and 26.8 million Class A shares outstanding at September 30, 2023 and 2022, respectively. We had 5.6 million Class B shares outstanding at the end of both periods.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Results of Operations - Nine Months Ended September 30, 2023 Compared to Nine Months Ended September 30, 2022</w:t>
      </w:r>
    </w:p>
    <w:p>
      <w:pPr>
        <w:spacing w:after="0" w:line="215" w:lineRule="exact"/>
        <w:rPr>
          <w:sz w:val="20"/>
          <w:szCs w:val="20"/>
          <w:color w:val="auto"/>
        </w:rPr>
      </w:pPr>
    </w:p>
    <w:p>
      <w:pPr>
        <w:ind w:right="340" w:firstLine="444"/>
        <w:spacing w:after="0" w:line="289" w:lineRule="auto"/>
        <w:rPr>
          <w:sz w:val="20"/>
          <w:szCs w:val="20"/>
          <w:color w:val="auto"/>
        </w:rPr>
      </w:pPr>
      <w:r>
        <w:rPr>
          <w:rFonts w:ascii="Arial" w:cs="Arial" w:eastAsia="Arial" w:hAnsi="Arial"/>
          <w:sz w:val="16"/>
          <w:szCs w:val="16"/>
          <w:i w:val="1"/>
          <w:iCs w:val="1"/>
          <w:color w:val="auto"/>
        </w:rPr>
        <w:t xml:space="preserve">Net Premiums Earned. </w:t>
      </w:r>
      <w:r>
        <w:rPr>
          <w:rFonts w:ascii="Arial" w:cs="Arial" w:eastAsia="Arial" w:hAnsi="Arial"/>
          <w:sz w:val="16"/>
          <w:szCs w:val="16"/>
          <w:color w:val="auto"/>
        </w:rPr>
        <w:t>Our insurance subsidiaries’ net premiums earned for the first nine months of 2023 were $655.9 million, an increase of $46.4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7.6%, compared to $609.5 million for the first nine months of 2022, primarily reflecting solid premium retention and renewal premium increases.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 xml:space="preserve">Net Premiums Written. </w:t>
      </w:r>
      <w:r>
        <w:rPr>
          <w:rFonts w:ascii="Arial" w:cs="Arial" w:eastAsia="Arial" w:hAnsi="Arial"/>
          <w:sz w:val="15"/>
          <w:szCs w:val="15"/>
          <w:color w:val="auto"/>
        </w:rPr>
        <w:t>Our insurance subsidiaries’ net premiums written for the first nine months of 2023 were $683.0 million, an increase of $39.9 million, or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6.2%, from the $643.1 million of net premiums written for the first nine months of 2022. Commercial lines net premiums written decreased $0.6 million, or 0.2%, for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first nine months of 2023 compared to the first nine months of 2022. Personal lines net premiums written increased $40.5 million, or 17.2%, for the first nine months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2023 compared to the first nine months of 2022. We attribute the decrease in commercial lines net premiums written primarily to planned attrition in states we are exiting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or have targeted for profit improvement, lower new business writings and reinsurance reinstatement premiums on our property excess of loss reinsurance program, offset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partially by strong premium retention and a continuation of renewal premium increases in lines other than workers’ compensation. We attribute the increase in personal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lines net premiums written primarily to renewal premium increases and strong policy retention.</w:t>
      </w:r>
    </w:p>
    <w:p>
      <w:pPr>
        <w:spacing w:after="0" w:line="200" w:lineRule="exact"/>
        <w:rPr>
          <w:sz w:val="20"/>
          <w:szCs w:val="20"/>
          <w:color w:val="auto"/>
        </w:rPr>
      </w:pPr>
    </w:p>
    <w:p>
      <w:pPr>
        <w:jc w:val="both"/>
        <w:ind w:right="440" w:firstLine="444"/>
        <w:spacing w:after="0" w:line="324" w:lineRule="auto"/>
        <w:rPr>
          <w:sz w:val="20"/>
          <w:szCs w:val="20"/>
          <w:color w:val="auto"/>
        </w:rPr>
      </w:pPr>
      <w:r>
        <w:rPr>
          <w:rFonts w:ascii="Arial" w:cs="Arial" w:eastAsia="Arial" w:hAnsi="Arial"/>
          <w:sz w:val="15"/>
          <w:szCs w:val="15"/>
          <w:i w:val="1"/>
          <w:iCs w:val="1"/>
          <w:color w:val="auto"/>
        </w:rPr>
        <w:t xml:space="preserve">Investment Income. </w:t>
      </w:r>
      <w:r>
        <w:rPr>
          <w:rFonts w:ascii="Arial" w:cs="Arial" w:eastAsia="Arial" w:hAnsi="Arial"/>
          <w:sz w:val="15"/>
          <w:szCs w:val="15"/>
          <w:color w:val="auto"/>
        </w:rPr>
        <w:t>Our net investment income was $30.1 million for the first nine months of 2023, an increase of $5.5 million, or 22.4%, compared to $24.6</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first nine months of 2022. We attribute the increase primarily to an increase in the average investment yield relative to the first nine months of 2022.</w:t>
      </w:r>
    </w:p>
    <w:p>
      <w:pPr>
        <w:spacing w:after="0" w:line="126" w:lineRule="exact"/>
        <w:rPr>
          <w:sz w:val="20"/>
          <w:szCs w:val="20"/>
          <w:color w:val="auto"/>
        </w:rPr>
      </w:pPr>
    </w:p>
    <w:p>
      <w:pPr>
        <w:ind w:right="20" w:firstLine="444"/>
        <w:spacing w:after="0" w:line="268" w:lineRule="auto"/>
        <w:rPr>
          <w:sz w:val="20"/>
          <w:szCs w:val="20"/>
          <w:color w:val="auto"/>
        </w:rPr>
      </w:pPr>
      <w:r>
        <w:rPr>
          <w:rFonts w:ascii="Arial" w:cs="Arial" w:eastAsia="Arial" w:hAnsi="Arial"/>
          <w:sz w:val="16"/>
          <w:szCs w:val="16"/>
          <w:i w:val="1"/>
          <w:iCs w:val="1"/>
          <w:color w:val="auto"/>
        </w:rPr>
        <w:t xml:space="preserve">Net Investment Gains (Losses). </w:t>
      </w:r>
      <w:r>
        <w:rPr>
          <w:rFonts w:ascii="Arial" w:cs="Arial" w:eastAsia="Arial" w:hAnsi="Arial"/>
          <w:sz w:val="16"/>
          <w:szCs w:val="16"/>
          <w:color w:val="auto"/>
        </w:rPr>
        <w:t>Net investment gains for the first nine months of 2023 were $930,302, compared to net investment losses of $10.8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2022. The net investment gains and losses for the first nine months of 2023 and 2022, respectively, resulted primarily from the net change in unrealized gains and losses within our equity securities portfolio at September 30, 2023 and 2022, respectively. We did not recognize any impairment losses for individual securities in our investment portfolio during the first nine months of 2023 or 2022.</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2" w:lineRule="exact"/>
        <w:rPr>
          <w:sz w:val="20"/>
          <w:szCs w:val="20"/>
          <w:color w:val="auto"/>
        </w:rPr>
      </w:pPr>
    </w:p>
    <w:p>
      <w:pPr>
        <w:ind w:firstLine="444"/>
        <w:spacing w:after="0" w:line="278" w:lineRule="auto"/>
        <w:rPr>
          <w:sz w:val="20"/>
          <w:szCs w:val="20"/>
          <w:color w:val="auto"/>
        </w:rPr>
      </w:pPr>
      <w:r>
        <w:rPr>
          <w:rFonts w:ascii="Arial" w:cs="Arial" w:eastAsia="Arial" w:hAnsi="Arial"/>
          <w:sz w:val="15"/>
          <w:szCs w:val="15"/>
          <w:i w:val="1"/>
          <w:iCs w:val="1"/>
          <w:color w:val="auto"/>
        </w:rPr>
        <w:t xml:space="preserve">Losses and Loss Expenses. </w:t>
      </w:r>
      <w:r>
        <w:rPr>
          <w:rFonts w:ascii="Arial" w:cs="Arial" w:eastAsia="Arial" w:hAnsi="Arial"/>
          <w:sz w:val="15"/>
          <w:szCs w:val="15"/>
          <w:color w:val="auto"/>
        </w:rPr>
        <w:t>Our insurance subsidiaries’ loss ratio, which is the ratio of incurred losses and loss expenses to premiums earned, was 68.0% for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months of 2023, a modest decrease from our insurance subsidiaries’ loss ratio of 68.1% for the first nine months of 2022. We attribute this decrease primarily to decreased core losses and large fire losses, virtually offset by increased weather-related losses and a decreased benefit of net favorable development of reserves for losses incurred in prior accident years. Loss ratios for both periods for the automobile and property lines of business reflected the impact of higher costs of labor, parts and materials. Weather-related losses of $59.5 million, or 9.1 percentage points of the loss ratio, for the first nine months of 2023, increased from $47.0 million, or 7.7 percentage points of the loss ratio, for the first nine months of 2022. The impact of weather-related loss activity to the loss ratio for the first nine months of 2023 was higher than our previous five-year average of 7.7 percentage points for weather-related losses incurred in the first nine months. Large fire losses for the first nine months of 2023 were $34.7 million, or 5.3 percentage points of the loss ratio, compared to $40.4 million, or 6.6 percentage points of the loss ratio, for the first nine months of 2022. On a statutory basis, our insurance subsidiaries’ commercial lines loss ratio was 63.9% for the first nine months of 2023, compared to 66.1% for the first nine months of 2022, primarily due to decreases in the commercial automobile, workers’ compensation and commercial multi-peril loss ratios. The personal lines statutory loss ratio of our insurance subsidiaries increased to 75.2% for the first nine months of 2023, compared to 72.5% for the first nine months of 2022. We attribute this increase primarily to an increase in the personal automobile loss ratio. Our insurance subsidiaries experienced favorable loss reserve development for the first nine months of 2023 of approximately $15.8 million that decreased the loss ratio by 2.4 percentage points, compared to $30.6 million that decreased the loss ratio for the first nine months of 2022 by 5.0 percentage points. Our insurance subsidiaries experienced favorable development primarily in the commercial automobile, personal automobile and homeowners lines of business for the first nine months of 2023, with the majority of the impact relating to reserves for accident years 2019 through 2022.</w:t>
      </w:r>
    </w:p>
    <w:p>
      <w:pPr>
        <w:spacing w:after="0" w:line="161" w:lineRule="exact"/>
        <w:rPr>
          <w:sz w:val="20"/>
          <w:szCs w:val="20"/>
          <w:color w:val="auto"/>
        </w:rPr>
      </w:pPr>
    </w:p>
    <w:p>
      <w:pPr>
        <w:ind w:right="60" w:firstLine="444"/>
        <w:spacing w:after="0" w:line="268" w:lineRule="auto"/>
        <w:rPr>
          <w:sz w:val="20"/>
          <w:szCs w:val="20"/>
          <w:color w:val="auto"/>
        </w:rPr>
      </w:pPr>
      <w:r>
        <w:rPr>
          <w:rFonts w:ascii="Arial" w:cs="Arial" w:eastAsia="Arial" w:hAnsi="Arial"/>
          <w:sz w:val="16"/>
          <w:szCs w:val="16"/>
          <w:i w:val="1"/>
          <w:iCs w:val="1"/>
          <w:color w:val="auto"/>
        </w:rPr>
        <w:t xml:space="preserve">Underwriting Expenses. </w:t>
      </w:r>
      <w:r>
        <w:rPr>
          <w:rFonts w:ascii="Arial" w:cs="Arial" w:eastAsia="Arial" w:hAnsi="Arial"/>
          <w:sz w:val="16"/>
          <w:szCs w:val="16"/>
          <w:color w:val="auto"/>
        </w:rPr>
        <w:t>The expense ratio for an insurance company is the ratio of policy acquisition costs and other underwriting expenses to premiums earned.</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expense ratio of our insurance subsidiaries was 34.9% for the first nine months of 2023, compared to 34.7% for the first nine months of 2022. The modest increase in the expense ratio primarily reflected higher technology costs related to our ongoing systems modernization initiatives for the first nine months of 2023 compared to the first nine months of 2022.</w:t>
      </w:r>
    </w:p>
    <w:p>
      <w:pPr>
        <w:spacing w:after="0" w:line="165" w:lineRule="exact"/>
        <w:rPr>
          <w:sz w:val="20"/>
          <w:szCs w:val="20"/>
          <w:color w:val="auto"/>
        </w:rPr>
      </w:pPr>
    </w:p>
    <w:p>
      <w:pPr>
        <w:ind w:right="100" w:firstLine="444"/>
        <w:spacing w:after="0" w:line="268" w:lineRule="auto"/>
        <w:rPr>
          <w:sz w:val="20"/>
          <w:szCs w:val="20"/>
          <w:color w:val="auto"/>
        </w:rPr>
      </w:pPr>
      <w:r>
        <w:rPr>
          <w:rFonts w:ascii="Arial" w:cs="Arial" w:eastAsia="Arial" w:hAnsi="Arial"/>
          <w:sz w:val="16"/>
          <w:szCs w:val="16"/>
          <w:i w:val="1"/>
          <w:iCs w:val="1"/>
          <w:color w:val="auto"/>
        </w:rPr>
        <w:t xml:space="preserve">Combined Ratio. </w:t>
      </w:r>
      <w:r>
        <w:rPr>
          <w:rFonts w:ascii="Arial" w:cs="Arial" w:eastAsia="Arial" w:hAnsi="Arial"/>
          <w:sz w:val="16"/>
          <w:szCs w:val="16"/>
          <w:color w:val="auto"/>
        </w:rPr>
        <w:t>The combined ratio represents the sum of the loss ratio, the expense ratio and the dividend ratio, which is the ratio of policyholder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premiums earned. Our insurance subsidiaries’ combined ratios were 103.5% for the first nine months of 2023 and 2022. The unchanged combined ratio reflected modest decreases in the loss ratio and dividend ratio, offset by a modest increase in the expense ratio for the first nine months of 2023 compared to the first nine months of 2022.</w:t>
      </w:r>
    </w:p>
    <w:p>
      <w:pPr>
        <w:spacing w:after="0" w:line="165" w:lineRule="exact"/>
        <w:rPr>
          <w:sz w:val="20"/>
          <w:szCs w:val="20"/>
          <w:color w:val="auto"/>
        </w:rPr>
      </w:pPr>
    </w:p>
    <w:p>
      <w:pPr>
        <w:ind w:right="140" w:firstLine="444"/>
        <w:spacing w:after="0" w:line="273"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We recorded income tax expense of $1.1 million for the first nine months of 2023, representing an effective tax rates of 15.2%. We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an income tax benefit of $2.3 million for the first nine months of 2022. The income tax expense and benefit for the first nine months of 2023 and 2022, respectively, represented estimates based on our projected annual taxable income and effective tax rates.</w:t>
      </w:r>
    </w:p>
    <w:p>
      <w:pPr>
        <w:spacing w:after="0" w:line="162" w:lineRule="exact"/>
        <w:rPr>
          <w:sz w:val="20"/>
          <w:szCs w:val="20"/>
          <w:color w:val="auto"/>
        </w:rPr>
      </w:pPr>
    </w:p>
    <w:p>
      <w:pPr>
        <w:ind w:firstLine="444"/>
        <w:spacing w:after="0" w:line="268" w:lineRule="auto"/>
        <w:rPr>
          <w:sz w:val="20"/>
          <w:szCs w:val="20"/>
          <w:color w:val="auto"/>
        </w:rPr>
      </w:pPr>
      <w:r>
        <w:rPr>
          <w:rFonts w:ascii="Arial" w:cs="Arial" w:eastAsia="Arial" w:hAnsi="Arial"/>
          <w:sz w:val="16"/>
          <w:szCs w:val="16"/>
          <w:i w:val="1"/>
          <w:iCs w:val="1"/>
          <w:color w:val="auto"/>
        </w:rPr>
        <w:t xml:space="preserve">Net Income (Loss) and Net Income (Loss) Per Share. </w:t>
      </w:r>
      <w:r>
        <w:rPr>
          <w:rFonts w:ascii="Arial" w:cs="Arial" w:eastAsia="Arial" w:hAnsi="Arial"/>
          <w:sz w:val="16"/>
          <w:szCs w:val="16"/>
          <w:color w:val="auto"/>
        </w:rPr>
        <w:t>Our net income for the first nine months of 2023 was $6.4 million, or $.20 per share of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on a diluted basis and $.17 per share of Class B common stock, compared to a net loss of $5.4 million, or $.17 per share of Class A common stock and $.16 per share of Class B common stock, for the first nine months of 2022. We had 27.6 million and 26.8 million Class A shares outstanding at September 30, 2023 and 2022, respectively. We had 5.6 million Class B shares outstanding at the end of both periods.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5" w:lineRule="exact"/>
        <w:rPr>
          <w:sz w:val="20"/>
          <w:szCs w:val="20"/>
          <w:color w:val="auto"/>
        </w:rPr>
      </w:pPr>
    </w:p>
    <w:p>
      <w:pPr>
        <w:ind w:right="180" w:firstLine="444"/>
        <w:spacing w:after="0" w:line="273" w:lineRule="auto"/>
        <w:rPr>
          <w:sz w:val="20"/>
          <w:szCs w:val="20"/>
          <w:color w:val="auto"/>
        </w:rPr>
      </w:pPr>
      <w:r>
        <w:rPr>
          <w:rFonts w:ascii="Arial" w:cs="Arial" w:eastAsia="Arial" w:hAnsi="Arial"/>
          <w:sz w:val="16"/>
          <w:szCs w:val="16"/>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investment maturities.</w:t>
      </w:r>
    </w:p>
    <w:p>
      <w:pPr>
        <w:spacing w:after="0" w:line="162" w:lineRule="exact"/>
        <w:rPr>
          <w:sz w:val="20"/>
          <w:szCs w:val="20"/>
          <w:color w:val="auto"/>
        </w:rPr>
      </w:pPr>
    </w:p>
    <w:p>
      <w:pPr>
        <w:ind w:right="20" w:firstLine="444"/>
        <w:spacing w:after="0" w:line="280" w:lineRule="auto"/>
        <w:rPr>
          <w:sz w:val="20"/>
          <w:szCs w:val="20"/>
          <w:color w:val="auto"/>
        </w:rPr>
      </w:pPr>
      <w:r>
        <w:rPr>
          <w:rFonts w:ascii="Arial" w:cs="Arial" w:eastAsia="Arial" w:hAnsi="Arial"/>
          <w:sz w:val="15"/>
          <w:szCs w:val="15"/>
          <w:color w:val="auto"/>
        </w:rPr>
        <w:t>Our operations have historically generated sufficient net positive cash flow to fund our commitments and add to our investment portfolio, thereby increasing future investment returns and enhancing our liquidity. The impact of the pooling agreement between Donegal Mutual and Atlantic States has historically been cash-flow positive because of the consistent underwriting profitability of the pool. Donegal Mutual and Atlantic States settle their respective obligations to each other under the pool monthly, thereby resulting in cash flows substantially similar to the cash flows that would result from each company writing the business directly. We have not experienced any unusual variations in the timing of claim payments associated with the loss reserves of our insurance subsidiaries. We maintain significant liquidity in our investment portfolio in the form of readily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thereby providing an additional measure of liquidity to meet our obligations should an unexpected variation occur in the future. Our operating activities provided net cash flows in the first nine months of 2023 and 2022 of $26.0 million and $49.9 million,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52" w:lineRule="exact"/>
        <w:rPr>
          <w:sz w:val="20"/>
          <w:szCs w:val="20"/>
          <w:color w:val="auto"/>
        </w:rPr>
      </w:pPr>
    </w:p>
    <w:p>
      <w:pPr>
        <w:jc w:val="both"/>
        <w:ind w:right="80" w:firstLine="444"/>
        <w:spacing w:after="0" w:line="273" w:lineRule="auto"/>
        <w:rPr>
          <w:sz w:val="20"/>
          <w:szCs w:val="20"/>
          <w:color w:val="auto"/>
        </w:rPr>
      </w:pPr>
      <w:r>
        <w:rPr>
          <w:rFonts w:ascii="Arial" w:cs="Arial" w:eastAsia="Arial" w:hAnsi="Arial"/>
          <w:sz w:val="16"/>
          <w:szCs w:val="16"/>
          <w:color w:val="auto"/>
        </w:rPr>
        <w:t>At September 30, 2023, we had no outstanding borrowings under our line of credit with M&amp;T and had the ability to borrow up to $20.0 million at an interest rate equal to the then-current Term SOFR rate plus 2.11%. At September 30, 2023, Atlantic States had a $35.0 million outstanding advance with the FHLB of Pittsburgh that carries a fixed interest rate of 1.74%.</w:t>
      </w:r>
    </w:p>
    <w:p>
      <w:pPr>
        <w:spacing w:after="0" w:line="162" w:lineRule="exact"/>
        <w:rPr>
          <w:sz w:val="20"/>
          <w:szCs w:val="20"/>
          <w:color w:val="auto"/>
        </w:rPr>
      </w:pPr>
    </w:p>
    <w:p>
      <w:pPr>
        <w:ind w:firstLine="444"/>
        <w:spacing w:after="0" w:line="281" w:lineRule="auto"/>
        <w:rPr>
          <w:sz w:val="20"/>
          <w:szCs w:val="20"/>
          <w:color w:val="auto"/>
        </w:rPr>
      </w:pPr>
      <w:r>
        <w:rPr>
          <w:rFonts w:ascii="Arial" w:cs="Arial" w:eastAsia="Arial" w:hAnsi="Arial"/>
          <w:sz w:val="15"/>
          <w:szCs w:val="15"/>
          <w:color w:val="auto"/>
        </w:rPr>
        <w:t>We estimate the timing of claim payments associated with the liabilities for losses and loss expenses of our insurance subsidiaries based on historical experience and expectations of future payment patterns. We show these liabilities net of reinsurance recoverable on unpaid losses and loss expenses to reflect expected future cash flows related to such liabilities.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61" w:lineRule="exact"/>
        <w:rPr>
          <w:sz w:val="20"/>
          <w:szCs w:val="20"/>
          <w:color w:val="auto"/>
        </w:rPr>
      </w:pPr>
    </w:p>
    <w:p>
      <w:pPr>
        <w:ind w:right="460" w:firstLine="444"/>
        <w:spacing w:after="0" w:line="289" w:lineRule="auto"/>
        <w:rPr>
          <w:sz w:val="20"/>
          <w:szCs w:val="20"/>
          <w:color w:val="auto"/>
        </w:rPr>
      </w:pPr>
      <w:r>
        <w:rPr>
          <w:rFonts w:ascii="Arial" w:cs="Arial" w:eastAsia="Arial" w:hAnsi="Arial"/>
          <w:sz w:val="16"/>
          <w:szCs w:val="16"/>
          <w:color w:val="auto"/>
        </w:rPr>
        <w:t>We discuss in Note 7 – Borrowings our estimate of the timing of the amounts payable for the borrowings under our lines of credit based on their contractual maturities.</w:t>
      </w:r>
    </w:p>
    <w:p>
      <w:pPr>
        <w:spacing w:after="0" w:line="149" w:lineRule="exact"/>
        <w:rPr>
          <w:sz w:val="20"/>
          <w:szCs w:val="20"/>
          <w:color w:val="auto"/>
        </w:rPr>
      </w:pPr>
    </w:p>
    <w:p>
      <w:pPr>
        <w:ind w:right="160" w:firstLine="444"/>
        <w:spacing w:after="0" w:line="291" w:lineRule="auto"/>
        <w:rPr>
          <w:sz w:val="20"/>
          <w:szCs w:val="20"/>
          <w:color w:val="auto"/>
        </w:rPr>
      </w:pPr>
      <w:r>
        <w:rPr>
          <w:rFonts w:ascii="Arial" w:cs="Arial" w:eastAsia="Arial" w:hAnsi="Arial"/>
          <w:sz w:val="15"/>
          <w:szCs w:val="15"/>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and in privately negotiated transactions. We did not purchase any shares of our Class A common stock under this program during the nine months ended September 30, 2023 or 2022. We have purchased a total of 57,658 shares of our Class A common stock under this program from its inception through September 30, 2023.</w:t>
      </w:r>
    </w:p>
    <w:p>
      <w:pPr>
        <w:spacing w:after="0" w:line="150" w:lineRule="exact"/>
        <w:rPr>
          <w:sz w:val="20"/>
          <w:szCs w:val="20"/>
          <w:color w:val="auto"/>
        </w:rPr>
      </w:pPr>
    </w:p>
    <w:p>
      <w:pPr>
        <w:ind w:firstLine="444"/>
        <w:spacing w:after="0" w:line="280" w:lineRule="auto"/>
        <w:rPr>
          <w:sz w:val="20"/>
          <w:szCs w:val="20"/>
          <w:color w:val="auto"/>
        </w:rPr>
      </w:pPr>
      <w:r>
        <w:rPr>
          <w:rFonts w:ascii="Arial" w:cs="Arial" w:eastAsia="Arial" w:hAnsi="Arial"/>
          <w:sz w:val="15"/>
          <w:szCs w:val="15"/>
          <w:color w:val="auto"/>
        </w:rPr>
        <w:t>On October 19, 2023, our board of directors declared quarterly cash dividends of $.17 per share of our Class A common stock and $.1525 per share of our Class B common stock, payable on November 15, 2023 to our stockholders of record as of the close of business on November 1, 2023. We are not subject to any restrictions on our payment of dividends to our stockholders, although there are state law restrictions on the payment of dividends by our insurance subsidiaries to us. Dividends from our insurance subsidiaries are our principal source of cash for payment of dividends to our stockholders. Our insurance subsidiaries are subject to regulations that restrict the payment of dividends from statutory surplus and may require prior approval of their domiciliary insurance regulatory authorities. Our insurance subsidiaries are also subject to risk based capital (“RBC”) requirements that limit their ability to pay dividends to us. Our insurance subsidiaries’ statutory capital and surplus at December 31, 2022 exceeded the amount of statutory capital and surplus necessary to satisfy regulatory requirements, including the RBC requirements, by a significant margin. Our insurance subsidiaries paid dividends to us of $6.0 million during the first nine months of 2023. Amounts remaining available for distribution to us as dividends from our insurance subsidiaries without prior approval of their domiciliary insurance regulatory authorities in 2023 are $26.4 million from Atlantic States, $6.5 million from Southern, $0 from Peninsula and $7.5 million from MICO, or a total of approximately $40.4 million.</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2023, we had no material commitments for capital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Price Risk</w:t>
      </w:r>
    </w:p>
    <w:p>
      <w:pPr>
        <w:spacing w:after="0" w:line="215" w:lineRule="exact"/>
        <w:rPr>
          <w:sz w:val="20"/>
          <w:szCs w:val="20"/>
          <w:color w:val="auto"/>
        </w:rPr>
      </w:pPr>
    </w:p>
    <w:p>
      <w:pPr>
        <w:ind w:right="140" w:firstLine="444"/>
        <w:spacing w:after="0" w:line="273" w:lineRule="auto"/>
        <w:rPr>
          <w:sz w:val="20"/>
          <w:szCs w:val="20"/>
          <w:color w:val="auto"/>
        </w:rPr>
      </w:pPr>
      <w:r>
        <w:rPr>
          <w:rFonts w:ascii="Arial" w:cs="Arial" w:eastAsia="Arial" w:hAnsi="Arial"/>
          <w:sz w:val="16"/>
          <w:szCs w:val="16"/>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215" w:lineRule="exact"/>
        <w:rPr>
          <w:sz w:val="20"/>
          <w:szCs w:val="20"/>
          <w:color w:val="auto"/>
        </w:rPr>
      </w:pPr>
    </w:p>
    <w:p>
      <w:pPr>
        <w:ind w:right="220" w:firstLine="444"/>
        <w:spacing w:after="0" w:line="268" w:lineRule="auto"/>
        <w:rPr>
          <w:sz w:val="20"/>
          <w:szCs w:val="20"/>
          <w:color w:val="auto"/>
        </w:rPr>
      </w:pPr>
      <w:r>
        <w:rPr>
          <w:rFonts w:ascii="Arial" w:cs="Arial" w:eastAsia="Arial" w:hAnsi="Arial"/>
          <w:sz w:val="16"/>
          <w:szCs w:val="16"/>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65" w:lineRule="exact"/>
        <w:rPr>
          <w:sz w:val="20"/>
          <w:szCs w:val="20"/>
          <w:color w:val="auto"/>
        </w:rPr>
      </w:pPr>
    </w:p>
    <w:p>
      <w:pPr>
        <w:ind w:firstLine="444"/>
        <w:spacing w:after="0" w:line="273" w:lineRule="auto"/>
        <w:rPr>
          <w:sz w:val="20"/>
          <w:szCs w:val="20"/>
          <w:color w:val="auto"/>
        </w:rPr>
      </w:pPr>
      <w:r>
        <w:rPr>
          <w:rFonts w:ascii="Arial" w:cs="Arial" w:eastAsia="Arial" w:hAnsi="Arial"/>
          <w:sz w:val="16"/>
          <w:szCs w:val="16"/>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62" w:lineRule="exact"/>
        <w:rPr>
          <w:sz w:val="20"/>
          <w:szCs w:val="20"/>
          <w:color w:val="auto"/>
        </w:rPr>
      </w:pPr>
    </w:p>
    <w:p>
      <w:pPr>
        <w:jc w:val="both"/>
        <w:ind w:right="140" w:firstLine="444"/>
        <w:spacing w:after="0" w:line="273" w:lineRule="auto"/>
        <w:rPr>
          <w:sz w:val="20"/>
          <w:szCs w:val="20"/>
          <w:color w:val="auto"/>
        </w:rPr>
      </w:pPr>
      <w:r>
        <w:rPr>
          <w:rFonts w:ascii="Arial" w:cs="Arial" w:eastAsia="Arial" w:hAnsi="Arial"/>
          <w:sz w:val="16"/>
          <w:szCs w:val="16"/>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5" w:lineRule="exact"/>
        <w:rPr>
          <w:sz w:val="20"/>
          <w:szCs w:val="20"/>
          <w:color w:val="auto"/>
        </w:rPr>
      </w:pPr>
    </w:p>
    <w:p>
      <w:pPr>
        <w:ind w:right="100" w:firstLine="444"/>
        <w:spacing w:after="0" w:line="268" w:lineRule="auto"/>
        <w:rPr>
          <w:sz w:val="20"/>
          <w:szCs w:val="20"/>
          <w:color w:val="auto"/>
        </w:rPr>
      </w:pPr>
      <w:r>
        <w:rPr>
          <w:rFonts w:ascii="Arial" w:cs="Arial" w:eastAsia="Arial" w:hAnsi="Arial"/>
          <w:sz w:val="16"/>
          <w:szCs w:val="16"/>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our quantitative or qualitative market risk exposure from December 31, 2022 through September 30, 2023.</w:t>
      </w:r>
    </w:p>
    <w:p>
      <w:pPr>
        <w:spacing w:after="0" w:line="20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5" w:lineRule="exact"/>
        <w:rPr>
          <w:sz w:val="20"/>
          <w:szCs w:val="20"/>
          <w:color w:val="auto"/>
        </w:rPr>
      </w:pPr>
    </w:p>
    <w:p>
      <w:pPr>
        <w:ind w:right="60" w:firstLine="444"/>
        <w:spacing w:after="0" w:line="284"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September 30, 2023,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5" w:lineRule="exact"/>
        <w:rPr>
          <w:sz w:val="20"/>
          <w:szCs w:val="20"/>
          <w:color w:val="auto"/>
        </w:rPr>
      </w:pPr>
    </w:p>
    <w:p>
      <w:pPr>
        <w:ind w:right="100" w:firstLine="444"/>
        <w:spacing w:after="0" w:line="262" w:lineRule="auto"/>
        <w:rPr>
          <w:sz w:val="20"/>
          <w:szCs w:val="20"/>
          <w:color w:val="auto"/>
        </w:rPr>
      </w:pPr>
      <w:r>
        <w:rPr>
          <w:rFonts w:ascii="Arial" w:cs="Arial" w:eastAsia="Arial" w:hAnsi="Arial"/>
          <w:sz w:val="16"/>
          <w:szCs w:val="16"/>
          <w:color w:val="auto"/>
        </w:rPr>
        <w:t>Donegal Mutual implemented a new application system that Donegal Mutual and our insurance subsidiaries began to utilize during 2021 for the allocation of expenses and, beginning in 2022, for reinsurance premiums and commissions. Donegal Mutual and our insurance subsidiaries expanded the utilization of this application system in 2023 to include the preparation of financial statements based on SAP state insurance regulators prescribe or permit. The SAP financial statements of our insurance subsidiaries serve as the starting point for our financial statements prepared using GAAP. The new application system provides for further automation of, and enhanced internal controls over, these processes. The implementation of the new system is part of a multi-year accounting systems and process modernization initiative Donegal Mutual is implementing to achieve various benefits for Donegal Mutual and our insurance subsidiaries, including streamlined financial reporting workflows and a more efficient control environment.</w:t>
      </w:r>
    </w:p>
    <w:p>
      <w:pPr>
        <w:spacing w:after="0" w:line="173" w:lineRule="exact"/>
        <w:rPr>
          <w:sz w:val="20"/>
          <w:szCs w:val="20"/>
          <w:color w:val="auto"/>
        </w:rPr>
      </w:pPr>
    </w:p>
    <w:p>
      <w:pPr>
        <w:ind w:right="140" w:firstLine="444"/>
        <w:spacing w:after="0" w:line="268" w:lineRule="auto"/>
        <w:rPr>
          <w:sz w:val="20"/>
          <w:szCs w:val="20"/>
          <w:color w:val="auto"/>
        </w:rPr>
      </w:pPr>
      <w:r>
        <w:rPr>
          <w:rFonts w:ascii="Arial" w:cs="Arial" w:eastAsia="Arial" w:hAnsi="Arial"/>
          <w:sz w:val="16"/>
          <w:szCs w:val="16"/>
          <w:color w:val="auto"/>
        </w:rPr>
        <w:t>Such changes resulted in changes to procedures related to our financial reporting. Prior to the implementation of the new systems, we identified and designed new internal controls that we incorporated into our internal controls over financial reporting. Following the implementation, we validated these new controls according to our established processes. We did not implement these changes in internal controls to respond to any actual or perceived significant deficiencies in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 of 1995</w:t>
      </w:r>
    </w:p>
    <w:p>
      <w:pPr>
        <w:spacing w:after="0" w:line="215" w:lineRule="exact"/>
        <w:rPr>
          <w:sz w:val="20"/>
          <w:szCs w:val="20"/>
          <w:color w:val="auto"/>
        </w:rPr>
      </w:pPr>
    </w:p>
    <w:p>
      <w:pPr>
        <w:ind w:firstLine="444"/>
        <w:spacing w:after="0" w:line="299" w:lineRule="auto"/>
        <w:rPr>
          <w:sz w:val="20"/>
          <w:szCs w:val="20"/>
          <w:color w:val="auto"/>
        </w:rPr>
      </w:pPr>
      <w:r>
        <w:rPr>
          <w:rFonts w:ascii="Arial" w:cs="Arial" w:eastAsia="Arial" w:hAnsi="Arial"/>
          <w:sz w:val="14"/>
          <w:szCs w:val="14"/>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labor shortages and escalating medical, automobile and property repair costs), adverse and catastrophic weather events (including from changing climate conditions), our ability to maintain profitable operations (including our ability to underwrite risks effectively and charge adequate premium rates), prolonged economic challenges resulting from the COVID-19 pandemic,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5" w:lineRule="exact"/>
        <w:rPr>
          <w:sz w:val="20"/>
          <w:szCs w:val="20"/>
          <w:color w:val="auto"/>
        </w:rPr>
      </w:pPr>
    </w:p>
    <w:p>
      <w:pPr>
        <w:ind w:right="140" w:firstLine="444"/>
        <w:spacing w:after="0" w:line="299" w:lineRule="auto"/>
        <w:rPr>
          <w:sz w:val="20"/>
          <w:szCs w:val="20"/>
          <w:color w:val="auto"/>
        </w:rPr>
      </w:pPr>
      <w:r>
        <w:rPr>
          <w:rFonts w:ascii="Arial" w:cs="Arial" w:eastAsia="Arial" w:hAnsi="Arial"/>
          <w:sz w:val="15"/>
          <w:szCs w:val="15"/>
          <w:color w:val="auto"/>
        </w:rPr>
        <w:t>Our business, results of operations and financial condition, and, therefore, the value of our Class A common stock and our Class B common stock, are subject to a number of risks. For a description of certain risks, we refer to “Risk Factors” in our 2022 Annual Report on Form 10-K that we filed with the SEC on March 6, 2023. There have been no material changes in the risk factors we disclosed in that Form 10-K Report during the nine months ended September 30, 2023.</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3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7"/>
              </w:rPr>
              <w:t>Index</w:t>
            </w:r>
          </w:p>
        </w:tc>
        <w:tc>
          <w:tcPr>
            <w:tcW w:w="1980" w:type="dxa"/>
            <w:vAlign w:val="bottom"/>
            <w:gridSpan w:val="3"/>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6840" w:type="dxa"/>
            <w:vAlign w:val="bottom"/>
            <w:gridSpan w:val="9"/>
          </w:tcPr>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8"/>
              </w:rPr>
              <w:t>(d) Maximum Number (or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5"/>
              </w:rPr>
              <w:t>(c) Total Number of</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Shares (or Units)</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2"/>
              </w:rPr>
              <w:t>Value) of Shares (or Units)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(a) Total Number of</w:t>
            </w: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Purchased as Part of</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5"/>
              </w:rPr>
              <w:t>that May Yet Be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Shares (or Units)</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(b) Average Price Paid per</w:t>
            </w:r>
          </w:p>
        </w:tc>
        <w:tc>
          <w:tcPr>
            <w:tcW w:w="2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Publicly Announced Plans</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3"/>
              </w:rPr>
              <w:t>Purchased Under the</w:t>
            </w:r>
          </w:p>
        </w:tc>
        <w:tc>
          <w:tcPr>
            <w:tcW w:w="0" w:type="dxa"/>
            <w:vAlign w:val="bottom"/>
          </w:tcPr>
          <w:p>
            <w:pPr>
              <w:spacing w:after="0"/>
              <w:rPr>
                <w:sz w:val="1"/>
                <w:szCs w:val="1"/>
                <w:color w:val="auto"/>
              </w:rPr>
            </w:pPr>
          </w:p>
        </w:tc>
      </w:tr>
      <w:tr>
        <w:trPr>
          <w:trHeight w:val="219"/>
        </w:trPr>
        <w:tc>
          <w:tcPr>
            <w:tcW w:w="2280" w:type="dxa"/>
            <w:vAlign w:val="bottom"/>
            <w:gridSpan w:val="5"/>
          </w:tcPr>
          <w:p>
            <w:pPr>
              <w:spacing w:after="0"/>
              <w:rPr>
                <w:sz w:val="20"/>
                <w:szCs w:val="20"/>
                <w:color w:val="auto"/>
              </w:rPr>
            </w:pPr>
            <w:r>
              <w:rPr>
                <w:rFonts w:ascii="Arial" w:cs="Arial" w:eastAsia="Arial" w:hAnsi="Arial"/>
                <w:sz w:val="16"/>
                <w:szCs w:val="16"/>
                <w:b w:val="1"/>
                <w:bCs w:val="1"/>
                <w:color w:val="auto"/>
              </w:rPr>
              <w:t>Period</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Purchased</w:t>
            </w: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Share (or Unit)</w:t>
            </w:r>
          </w:p>
        </w:tc>
        <w:tc>
          <w:tcPr>
            <w:tcW w:w="1600" w:type="dxa"/>
            <w:vAlign w:val="bottom"/>
          </w:tcPr>
          <w:p>
            <w:pPr>
              <w:jc w:val="center"/>
              <w:ind w:left="438"/>
              <w:spacing w:after="0"/>
              <w:rPr>
                <w:sz w:val="20"/>
                <w:szCs w:val="20"/>
                <w:color w:val="auto"/>
              </w:rPr>
            </w:pPr>
            <w:r>
              <w:rPr>
                <w:rFonts w:ascii="Arial" w:cs="Arial" w:eastAsia="Arial" w:hAnsi="Arial"/>
                <w:sz w:val="16"/>
                <w:szCs w:val="16"/>
                <w:b w:val="1"/>
                <w:bCs w:val="1"/>
                <w:color w:val="auto"/>
                <w:w w:val="92"/>
              </w:rPr>
              <w:t>or Programs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Month #1</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Class A – None</w:t>
            </w:r>
          </w:p>
        </w:tc>
        <w:tc>
          <w:tcPr>
            <w:tcW w:w="1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Class A – None</w:t>
            </w:r>
          </w:p>
        </w:tc>
        <w:tc>
          <w:tcPr>
            <w:tcW w:w="1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ind w:left="438"/>
              <w:spacing w:after="0"/>
              <w:rPr>
                <w:sz w:val="20"/>
                <w:szCs w:val="20"/>
                <w:color w:val="auto"/>
              </w:rPr>
            </w:pPr>
            <w:r>
              <w:rPr>
                <w:rFonts w:ascii="Arial" w:cs="Arial" w:eastAsia="Arial" w:hAnsi="Arial"/>
                <w:sz w:val="16"/>
                <w:szCs w:val="16"/>
                <w:color w:val="auto"/>
                <w:w w:val="93"/>
              </w:rPr>
              <w:t>Class A – None</w:t>
            </w: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July 1-31, 2023</w:t>
            </w:r>
          </w:p>
        </w:tc>
        <w:tc>
          <w:tcPr>
            <w:tcW w:w="22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Class B – None</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Class B – None</w:t>
            </w:r>
          </w:p>
        </w:tc>
        <w:tc>
          <w:tcPr>
            <w:tcW w:w="1600" w:type="dxa"/>
            <w:vAlign w:val="bottom"/>
            <w:shd w:val="clear" w:color="auto" w:fill="CCEEFF"/>
          </w:tcPr>
          <w:p>
            <w:pPr>
              <w:jc w:val="center"/>
              <w:ind w:left="438"/>
              <w:spacing w:after="0"/>
              <w:rPr>
                <w:sz w:val="20"/>
                <w:szCs w:val="20"/>
                <w:color w:val="auto"/>
              </w:rPr>
            </w:pPr>
            <w:r>
              <w:rPr>
                <w:rFonts w:ascii="Arial" w:cs="Arial" w:eastAsia="Arial" w:hAnsi="Arial"/>
                <w:sz w:val="16"/>
                <w:szCs w:val="16"/>
                <w:color w:val="auto"/>
                <w:w w:val="93"/>
              </w:rPr>
              <w:t>Class B – None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280" w:type="dxa"/>
            <w:vAlign w:val="bottom"/>
            <w:gridSpan w:val="5"/>
          </w:tcPr>
          <w:p>
            <w:pPr>
              <w:spacing w:after="0"/>
              <w:rPr>
                <w:sz w:val="20"/>
                <w:szCs w:val="20"/>
                <w:color w:val="auto"/>
              </w:rPr>
            </w:pPr>
            <w:r>
              <w:rPr>
                <w:rFonts w:ascii="Arial" w:cs="Arial" w:eastAsia="Arial" w:hAnsi="Arial"/>
                <w:sz w:val="16"/>
                <w:szCs w:val="16"/>
                <w:color w:val="auto"/>
              </w:rPr>
              <w:t>Month #2</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Class A – 167,876</w:t>
            </w: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Class A – $14.76</w:t>
            </w:r>
          </w:p>
        </w:tc>
        <w:tc>
          <w:tcPr>
            <w:tcW w:w="22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Class A – 167,876</w:t>
            </w:r>
          </w:p>
        </w:tc>
        <w:tc>
          <w:tcPr>
            <w:tcW w:w="2120" w:type="dxa"/>
            <w:vAlign w:val="bottom"/>
            <w:vMerge w:val="restart"/>
          </w:tcPr>
          <w:p>
            <w:pPr>
              <w:jc w:val="center"/>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110"/>
        </w:trPr>
        <w:tc>
          <w:tcPr>
            <w:tcW w:w="2280" w:type="dxa"/>
            <w:vAlign w:val="bottom"/>
            <w:gridSpan w:val="5"/>
            <w:vMerge w:val="restart"/>
          </w:tcPr>
          <w:p>
            <w:pPr>
              <w:spacing w:after="0"/>
              <w:rPr>
                <w:sz w:val="20"/>
                <w:szCs w:val="20"/>
                <w:color w:val="auto"/>
              </w:rPr>
            </w:pPr>
            <w:r>
              <w:rPr>
                <w:rFonts w:ascii="Arial" w:cs="Arial" w:eastAsia="Arial" w:hAnsi="Arial"/>
                <w:sz w:val="16"/>
                <w:szCs w:val="16"/>
                <w:color w:val="auto"/>
              </w:rPr>
              <w:t>August 1-31, 2023</w:t>
            </w:r>
          </w:p>
        </w:tc>
        <w:tc>
          <w:tcPr>
            <w:tcW w:w="228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w w:val="91"/>
              </w:rPr>
              <w:t>Class B – None</w:t>
            </w:r>
          </w:p>
        </w:tc>
        <w:tc>
          <w:tcPr>
            <w:tcW w:w="228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Class B – None</w:t>
            </w:r>
          </w:p>
        </w:tc>
        <w:tc>
          <w:tcPr>
            <w:tcW w:w="1600" w:type="dxa"/>
            <w:vAlign w:val="bottom"/>
            <w:vMerge w:val="restart"/>
          </w:tcPr>
          <w:p>
            <w:pPr>
              <w:jc w:val="center"/>
              <w:ind w:left="438"/>
              <w:spacing w:after="0"/>
              <w:rPr>
                <w:sz w:val="20"/>
                <w:szCs w:val="20"/>
                <w:color w:val="auto"/>
              </w:rPr>
            </w:pPr>
            <w:r>
              <w:rPr>
                <w:rFonts w:ascii="Arial" w:cs="Arial" w:eastAsia="Arial" w:hAnsi="Arial"/>
                <w:sz w:val="16"/>
                <w:szCs w:val="16"/>
                <w:color w:val="auto"/>
                <w:w w:val="93"/>
              </w:rPr>
              <w:t>Class B – None</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280" w:type="dxa"/>
            <w:vAlign w:val="bottom"/>
            <w:gridSpan w:val="5"/>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Month #3</w:t>
            </w:r>
          </w:p>
        </w:tc>
        <w:tc>
          <w:tcPr>
            <w:tcW w:w="22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Class A – 17,141</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Class A – $14.66</w:t>
            </w:r>
          </w:p>
        </w:tc>
        <w:tc>
          <w:tcPr>
            <w:tcW w:w="22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Class A – 17,141</w:t>
            </w: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gridSpan w:val="4"/>
            <w:vMerge w:val="restart"/>
            <w:shd w:val="clear" w:color="auto" w:fill="CCEEFF"/>
          </w:tcPr>
          <w:p>
            <w:pPr>
              <w:spacing w:after="0"/>
              <w:rPr>
                <w:sz w:val="20"/>
                <w:szCs w:val="20"/>
                <w:color w:val="auto"/>
              </w:rPr>
            </w:pPr>
            <w:r>
              <w:rPr>
                <w:rFonts w:ascii="Arial" w:cs="Arial" w:eastAsia="Arial" w:hAnsi="Arial"/>
                <w:sz w:val="16"/>
                <w:szCs w:val="16"/>
                <w:color w:val="auto"/>
              </w:rPr>
              <w:t>September 1-30, 2023</w:t>
            </w:r>
          </w:p>
        </w:tc>
        <w:tc>
          <w:tcPr>
            <w:tcW w:w="22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color w:val="auto"/>
                <w:w w:val="91"/>
              </w:rPr>
              <w:t>Class B – None</w:t>
            </w:r>
          </w:p>
        </w:tc>
        <w:tc>
          <w:tcPr>
            <w:tcW w:w="228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6"/>
                <w:szCs w:val="16"/>
                <w:color w:val="auto"/>
                <w:w w:val="93"/>
              </w:rPr>
              <w:t>Class B – None</w:t>
            </w:r>
          </w:p>
        </w:tc>
        <w:tc>
          <w:tcPr>
            <w:tcW w:w="1600" w:type="dxa"/>
            <w:vAlign w:val="bottom"/>
            <w:vMerge w:val="restart"/>
            <w:shd w:val="clear" w:color="auto" w:fill="CCEEFF"/>
          </w:tcPr>
          <w:p>
            <w:pPr>
              <w:jc w:val="center"/>
              <w:ind w:left="438"/>
              <w:spacing w:after="0"/>
              <w:rPr>
                <w:sz w:val="20"/>
                <w:szCs w:val="20"/>
                <w:color w:val="auto"/>
              </w:rPr>
            </w:pPr>
            <w:r>
              <w:rPr>
                <w:rFonts w:ascii="Arial" w:cs="Arial" w:eastAsia="Arial" w:hAnsi="Arial"/>
                <w:sz w:val="16"/>
                <w:szCs w:val="16"/>
                <w:color w:val="auto"/>
                <w:w w:val="93"/>
              </w:rPr>
              <w:t>Class B – None</w:t>
            </w: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60" w:type="dxa"/>
            <w:vAlign w:val="bottom"/>
            <w:gridSpan w:val="4"/>
            <w:vMerge w:val="continue"/>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280" w:type="dxa"/>
            <w:vAlign w:val="bottom"/>
            <w:gridSpan w:val="5"/>
          </w:tcPr>
          <w:p>
            <w:pPr>
              <w:spacing w:after="0"/>
              <w:rPr>
                <w:sz w:val="20"/>
                <w:szCs w:val="20"/>
                <w:color w:val="auto"/>
              </w:rPr>
            </w:pPr>
            <w:r>
              <w:rPr>
                <w:rFonts w:ascii="Arial" w:cs="Arial" w:eastAsia="Arial" w:hAnsi="Arial"/>
                <w:sz w:val="16"/>
                <w:szCs w:val="16"/>
                <w:color w:val="auto"/>
              </w:rPr>
              <w:t>Total</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Class A – 185,017</w:t>
            </w: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Class A – $14.76</w:t>
            </w:r>
          </w:p>
        </w:tc>
        <w:tc>
          <w:tcPr>
            <w:tcW w:w="22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Class A – 185,017</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Class B – None</w:t>
            </w: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Class B – None</w:t>
            </w:r>
          </w:p>
        </w:tc>
        <w:tc>
          <w:tcPr>
            <w:tcW w:w="1600" w:type="dxa"/>
            <w:vAlign w:val="bottom"/>
          </w:tcPr>
          <w:p>
            <w:pPr>
              <w:jc w:val="center"/>
              <w:ind w:left="438"/>
              <w:spacing w:after="0"/>
              <w:rPr>
                <w:sz w:val="20"/>
                <w:szCs w:val="20"/>
                <w:color w:val="auto"/>
              </w:rPr>
            </w:pPr>
            <w:r>
              <w:rPr>
                <w:rFonts w:ascii="Arial" w:cs="Arial" w:eastAsia="Arial" w:hAnsi="Arial"/>
                <w:sz w:val="16"/>
                <w:szCs w:val="16"/>
                <w:color w:val="auto"/>
                <w:w w:val="93"/>
              </w:rPr>
              <w:t>Class B – None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0" w:type="dxa"/>
            <w:vAlign w:val="bottom"/>
            <w:tcBorders>
              <w:bottom w:val="single" w:sz="8" w:color="54301A"/>
            </w:tcBorders>
          </w:tcPr>
          <w:p>
            <w:pPr>
              <w:spacing w:after="0"/>
              <w:rPr>
                <w:sz w:val="24"/>
                <w:szCs w:val="24"/>
                <w:color w:val="auto"/>
              </w:rPr>
            </w:pPr>
          </w:p>
        </w:tc>
        <w:tc>
          <w:tcPr>
            <w:tcW w:w="1940" w:type="dxa"/>
            <w:vAlign w:val="bottom"/>
            <w:tcBorders>
              <w:bottom w:val="single" w:sz="8" w:color="54301A"/>
            </w:tcBorders>
            <w:gridSpan w:val="2"/>
          </w:tcPr>
          <w:p>
            <w:pPr>
              <w:spacing w:after="0"/>
              <w:rPr>
                <w:sz w:val="24"/>
                <w:szCs w:val="24"/>
                <w:color w:val="auto"/>
              </w:rPr>
            </w:pPr>
          </w:p>
        </w:tc>
        <w:tc>
          <w:tcPr>
            <w:tcW w:w="6200" w:type="dxa"/>
            <w:vAlign w:val="bottom"/>
            <w:gridSpan w:val="6"/>
          </w:tcPr>
          <w:p>
            <w:pPr>
              <w:spacing w:after="0"/>
              <w:rPr>
                <w:sz w:val="24"/>
                <w:szCs w:val="24"/>
                <w:color w:val="auto"/>
              </w:rPr>
            </w:pPr>
          </w:p>
        </w:tc>
        <w:tc>
          <w:tcPr>
            <w:tcW w:w="28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440" w:type="dxa"/>
            <w:vAlign w:val="bottom"/>
            <w:gridSpan w:val="10"/>
          </w:tcPr>
          <w:p>
            <w:pPr>
              <w:spacing w:after="0"/>
              <w:rPr>
                <w:sz w:val="20"/>
                <w:szCs w:val="20"/>
                <w:color w:val="auto"/>
              </w:rPr>
            </w:pPr>
            <w:r>
              <w:rPr>
                <w:rFonts w:ascii="Arial" w:cs="Arial" w:eastAsia="Arial" w:hAnsi="Arial"/>
                <w:sz w:val="16"/>
                <w:szCs w:val="16"/>
                <w:color w:val="auto"/>
                <w:w w:val="98"/>
              </w:rPr>
              <w:t>(1)   Donegal Mutual purchased these shares pursuant to its announcement on April 29, 2022 that it will, at its discretion,</w:t>
            </w:r>
          </w:p>
        </w:tc>
        <w:tc>
          <w:tcPr>
            <w:tcW w:w="2800" w:type="dxa"/>
            <w:vAlign w:val="bottom"/>
            <w:gridSpan w:val="3"/>
          </w:tcPr>
          <w:p>
            <w:pPr>
              <w:ind w:left="20"/>
              <w:spacing w:after="0"/>
              <w:rPr>
                <w:sz w:val="20"/>
                <w:szCs w:val="20"/>
                <w:color w:val="auto"/>
              </w:rPr>
            </w:pPr>
            <w:r>
              <w:rPr>
                <w:rFonts w:ascii="Arial" w:cs="Arial" w:eastAsia="Arial" w:hAnsi="Arial"/>
                <w:sz w:val="16"/>
                <w:szCs w:val="16"/>
                <w:color w:val="auto"/>
                <w:w w:val="95"/>
              </w:rPr>
              <w:t>purchase shares of our Class A common</w:t>
            </w:r>
          </w:p>
        </w:tc>
        <w:tc>
          <w:tcPr>
            <w:tcW w:w="0" w:type="dxa"/>
            <w:vAlign w:val="bottom"/>
          </w:tcPr>
          <w:p>
            <w:pPr>
              <w:spacing w:after="0"/>
              <w:rPr>
                <w:sz w:val="1"/>
                <w:szCs w:val="1"/>
                <w:color w:val="auto"/>
              </w:rPr>
            </w:pPr>
          </w:p>
        </w:tc>
      </w:tr>
    </w:tbl>
    <w:p>
      <w:pPr>
        <w:ind w:left="440" w:right="260"/>
        <w:spacing w:after="0" w:line="274" w:lineRule="auto"/>
        <w:rPr>
          <w:sz w:val="20"/>
          <w:szCs w:val="20"/>
          <w:color w:val="auto"/>
        </w:rPr>
      </w:pPr>
      <w:r>
        <w:rPr>
          <w:rFonts w:ascii="Arial" w:cs="Arial" w:eastAsia="Arial" w:hAnsi="Arial"/>
          <w:sz w:val="16"/>
          <w:szCs w:val="16"/>
          <w:color w:val="auto"/>
        </w:rPr>
        <w:t>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w:t>
      </w:r>
    </w:p>
    <w:p>
      <w:pPr>
        <w:spacing w:after="0" w:line="20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 Applicable.</w:t>
      </w:r>
    </w:p>
    <w:p>
      <w:pPr>
        <w:spacing w:after="0" w:line="20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43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300" w:type="dxa"/>
            <w:vAlign w:val="bottom"/>
            <w:tcBorders>
              <w:bottom w:val="single" w:sz="8" w:color="0000EE"/>
            </w:tcBorders>
          </w:tcPr>
          <w:p>
            <w:pPr>
              <w:spacing w:after="0"/>
              <w:rPr>
                <w:sz w:val="20"/>
                <w:szCs w:val="20"/>
                <w:color w:val="auto"/>
              </w:rPr>
            </w:pPr>
            <w:r>
              <w:rPr>
                <w:rFonts w:ascii="Arial" w:cs="Arial" w:eastAsia="Arial" w:hAnsi="Arial"/>
                <w:sz w:val="13"/>
                <w:szCs w:val="13"/>
                <w:i w:val="1"/>
                <w:iCs w:val="1"/>
                <w:color w:val="0000EE"/>
                <w:w w:val="87"/>
              </w:rPr>
              <w:t>Index</w:t>
            </w:r>
          </w:p>
        </w:tc>
        <w:tc>
          <w:tcPr>
            <w:tcW w:w="1440" w:type="dxa"/>
            <w:vAlign w:val="bottom"/>
            <w:gridSpan w:val="4"/>
          </w:tcPr>
          <w:p>
            <w:pPr>
              <w:spacing w:after="0"/>
              <w:rPr>
                <w:sz w:val="13"/>
                <w:szCs w:val="13"/>
                <w:color w:val="auto"/>
              </w:rPr>
            </w:pPr>
          </w:p>
        </w:tc>
        <w:tc>
          <w:tcPr>
            <w:tcW w:w="3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349"/>
        </w:trPr>
        <w:tc>
          <w:tcPr>
            <w:tcW w:w="1740" w:type="dxa"/>
            <w:vAlign w:val="bottom"/>
            <w:gridSpan w:val="5"/>
          </w:tcPr>
          <w:p>
            <w:pPr>
              <w:spacing w:after="0"/>
              <w:rPr>
                <w:sz w:val="20"/>
                <w:szCs w:val="20"/>
                <w:color w:val="auto"/>
              </w:rPr>
            </w:pPr>
            <w:r>
              <w:rPr>
                <w:rFonts w:ascii="Arial" w:cs="Arial" w:eastAsia="Arial" w:hAnsi="Arial"/>
                <w:sz w:val="16"/>
                <w:szCs w:val="16"/>
                <w:b w:val="1"/>
                <w:bCs w:val="1"/>
                <w:color w:val="auto"/>
              </w:rPr>
              <w:t>Item 6.   Exhibits.</w:t>
            </w: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9"/>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Exhibit No.</w:t>
            </w:r>
          </w:p>
        </w:tc>
        <w:tc>
          <w:tcPr>
            <w:tcW w:w="8000" w:type="dxa"/>
            <w:vAlign w:val="bottom"/>
            <w:gridSpan w:val="3"/>
          </w:tcPr>
          <w:p>
            <w:pPr>
              <w:ind w:left="3900"/>
              <w:spacing w:after="0"/>
              <w:rPr>
                <w:sz w:val="20"/>
                <w:szCs w:val="20"/>
                <w:color w:val="auto"/>
              </w:rPr>
            </w:pPr>
            <w:r>
              <w:rPr>
                <w:rFonts w:ascii="Arial" w:cs="Arial" w:eastAsia="Arial" w:hAnsi="Arial"/>
                <w:sz w:val="16"/>
                <w:szCs w:val="16"/>
                <w:b w:val="1"/>
                <w:bCs w:val="1"/>
                <w:color w:val="auto"/>
              </w:rPr>
              <w:t>Description</w:t>
            </w:r>
          </w:p>
        </w:tc>
        <w:tc>
          <w:tcPr>
            <w:tcW w:w="1500" w:type="dxa"/>
            <w:vAlign w:val="bottom"/>
          </w:tcPr>
          <w:p>
            <w:pPr>
              <w:spacing w:after="0"/>
              <w:rPr>
                <w:sz w:val="24"/>
                <w:szCs w:val="24"/>
                <w:color w:val="auto"/>
              </w:rPr>
            </w:pPr>
          </w:p>
        </w:tc>
      </w:tr>
      <w:tr>
        <w:trPr>
          <w:trHeight w:val="214"/>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77"/>
        </w:trPr>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center"/>
              <w:ind w:right="400"/>
              <w:spacing w:after="0" w:line="161" w:lineRule="exact"/>
              <w:rPr>
                <w:sz w:val="20"/>
                <w:szCs w:val="20"/>
                <w:color w:val="auto"/>
              </w:rPr>
            </w:pPr>
            <w:r>
              <w:rPr>
                <w:rFonts w:ascii="Arial" w:cs="Arial" w:eastAsia="Arial" w:hAnsi="Arial"/>
                <w:sz w:val="16"/>
                <w:szCs w:val="16"/>
                <w:color w:val="0000EE"/>
                <w:w w:val="98"/>
              </w:rPr>
              <w:t>Exhibit 31.1</w:t>
            </w:r>
          </w:p>
        </w:tc>
        <w:tc>
          <w:tcPr>
            <w:tcW w:w="8000" w:type="dxa"/>
            <w:vAlign w:val="bottom"/>
            <w:gridSpan w:val="3"/>
            <w:shd w:val="clear" w:color="auto" w:fill="CCEEFF"/>
          </w:tcPr>
          <w:p>
            <w:pPr>
              <w:ind w:left="240"/>
              <w:spacing w:after="0" w:line="161" w:lineRule="exact"/>
              <w:rPr>
                <w:sz w:val="20"/>
                <w:szCs w:val="20"/>
                <w:color w:val="auto"/>
              </w:rPr>
            </w:pPr>
            <w:r>
              <w:rPr>
                <w:rFonts w:ascii="Arial" w:cs="Arial" w:eastAsia="Arial" w:hAnsi="Arial"/>
                <w:sz w:val="16"/>
                <w:szCs w:val="16"/>
                <w:color w:val="auto"/>
              </w:rPr>
              <w:t>Certification of Chief Executive Officer</w:t>
            </w:r>
          </w:p>
        </w:tc>
        <w:tc>
          <w:tcPr>
            <w:tcW w:w="1500" w:type="dxa"/>
            <w:vAlign w:val="bottom"/>
            <w:shd w:val="clear" w:color="auto" w:fill="CCEEFF"/>
          </w:tcPr>
          <w:p>
            <w:pPr>
              <w:ind w:left="460"/>
              <w:spacing w:after="0" w:line="161" w:lineRule="exact"/>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9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r>
      <w:tr>
        <w:trPr>
          <w:trHeight w:val="177"/>
        </w:trPr>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center"/>
              <w:ind w:right="400"/>
              <w:spacing w:after="0" w:line="161" w:lineRule="exact"/>
              <w:rPr>
                <w:sz w:val="20"/>
                <w:szCs w:val="20"/>
                <w:color w:val="auto"/>
              </w:rPr>
            </w:pPr>
            <w:r>
              <w:rPr>
                <w:rFonts w:ascii="Arial" w:cs="Arial" w:eastAsia="Arial" w:hAnsi="Arial"/>
                <w:sz w:val="16"/>
                <w:szCs w:val="16"/>
                <w:color w:val="0000EE"/>
                <w:w w:val="98"/>
              </w:rPr>
              <w:t>Exhibit 31.2</w:t>
            </w:r>
          </w:p>
        </w:tc>
        <w:tc>
          <w:tcPr>
            <w:tcW w:w="8000" w:type="dxa"/>
            <w:vAlign w:val="bottom"/>
            <w:gridSpan w:val="3"/>
            <w:shd w:val="clear" w:color="auto" w:fill="CCEEFF"/>
          </w:tcPr>
          <w:p>
            <w:pPr>
              <w:ind w:left="240"/>
              <w:spacing w:after="0" w:line="161" w:lineRule="exact"/>
              <w:rPr>
                <w:sz w:val="20"/>
                <w:szCs w:val="20"/>
                <w:color w:val="auto"/>
              </w:rPr>
            </w:pPr>
            <w:r>
              <w:rPr>
                <w:rFonts w:ascii="Arial" w:cs="Arial" w:eastAsia="Arial" w:hAnsi="Arial"/>
                <w:sz w:val="16"/>
                <w:szCs w:val="16"/>
                <w:color w:val="auto"/>
              </w:rPr>
              <w:t>Certification of Chief Financial Officer</w:t>
            </w:r>
          </w:p>
        </w:tc>
        <w:tc>
          <w:tcPr>
            <w:tcW w:w="1500" w:type="dxa"/>
            <w:vAlign w:val="bottom"/>
            <w:shd w:val="clear" w:color="auto" w:fill="CCEEFF"/>
          </w:tcPr>
          <w:p>
            <w:pPr>
              <w:ind w:left="460"/>
              <w:spacing w:after="0" w:line="161" w:lineRule="exact"/>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9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r>
      <w:tr>
        <w:trPr>
          <w:trHeight w:val="177"/>
        </w:trPr>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center"/>
              <w:ind w:right="400"/>
              <w:spacing w:after="0" w:line="161" w:lineRule="exact"/>
              <w:rPr>
                <w:sz w:val="20"/>
                <w:szCs w:val="20"/>
                <w:color w:val="auto"/>
              </w:rPr>
            </w:pPr>
            <w:r>
              <w:rPr>
                <w:rFonts w:ascii="Arial" w:cs="Arial" w:eastAsia="Arial" w:hAnsi="Arial"/>
                <w:sz w:val="16"/>
                <w:szCs w:val="16"/>
                <w:color w:val="0000EE"/>
                <w:w w:val="98"/>
              </w:rPr>
              <w:t>Exhibit 32.1</w:t>
            </w:r>
          </w:p>
        </w:tc>
        <w:tc>
          <w:tcPr>
            <w:tcW w:w="8000" w:type="dxa"/>
            <w:vAlign w:val="bottom"/>
            <w:gridSpan w:val="3"/>
            <w:shd w:val="clear" w:color="auto" w:fill="CCEEFF"/>
          </w:tcPr>
          <w:p>
            <w:pPr>
              <w:ind w:left="240"/>
              <w:spacing w:after="0" w:line="161" w:lineRule="exact"/>
              <w:rPr>
                <w:sz w:val="20"/>
                <w:szCs w:val="20"/>
                <w:color w:val="auto"/>
              </w:rPr>
            </w:pPr>
            <w:r>
              <w:rPr>
                <w:rFonts w:ascii="Arial" w:cs="Arial" w:eastAsia="Arial" w:hAnsi="Arial"/>
                <w:sz w:val="16"/>
                <w:szCs w:val="16"/>
                <w:color w:val="auto"/>
                <w:w w:val="99"/>
              </w:rPr>
              <w:t>Statement of Chief Executive Officer pursuant to 18 U.S.C. Section 1350 of Title 18 of the United States Code</w:t>
            </w:r>
          </w:p>
        </w:tc>
        <w:tc>
          <w:tcPr>
            <w:tcW w:w="1500" w:type="dxa"/>
            <w:vAlign w:val="bottom"/>
            <w:shd w:val="clear" w:color="auto" w:fill="CCEEFF"/>
          </w:tcPr>
          <w:p>
            <w:pPr>
              <w:ind w:left="460"/>
              <w:spacing w:after="0" w:line="161" w:lineRule="exact"/>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9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r>
      <w:tr>
        <w:trPr>
          <w:trHeight w:val="177"/>
        </w:trPr>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center"/>
              <w:ind w:right="400"/>
              <w:spacing w:after="0" w:line="161" w:lineRule="exact"/>
              <w:rPr>
                <w:sz w:val="20"/>
                <w:szCs w:val="20"/>
                <w:color w:val="auto"/>
              </w:rPr>
            </w:pPr>
            <w:r>
              <w:rPr>
                <w:rFonts w:ascii="Arial" w:cs="Arial" w:eastAsia="Arial" w:hAnsi="Arial"/>
                <w:sz w:val="16"/>
                <w:szCs w:val="16"/>
                <w:color w:val="0000EE"/>
                <w:w w:val="98"/>
              </w:rPr>
              <w:t>Exhibit 32.2</w:t>
            </w:r>
          </w:p>
        </w:tc>
        <w:tc>
          <w:tcPr>
            <w:tcW w:w="8000" w:type="dxa"/>
            <w:vAlign w:val="bottom"/>
            <w:gridSpan w:val="3"/>
            <w:shd w:val="clear" w:color="auto" w:fill="CCEEFF"/>
          </w:tcPr>
          <w:p>
            <w:pPr>
              <w:ind w:left="240"/>
              <w:spacing w:after="0" w:line="161" w:lineRule="exact"/>
              <w:rPr>
                <w:sz w:val="20"/>
                <w:szCs w:val="20"/>
                <w:color w:val="auto"/>
              </w:rPr>
            </w:pPr>
            <w:r>
              <w:rPr>
                <w:rFonts w:ascii="Arial" w:cs="Arial" w:eastAsia="Arial" w:hAnsi="Arial"/>
                <w:sz w:val="16"/>
                <w:szCs w:val="16"/>
                <w:color w:val="auto"/>
              </w:rPr>
              <w:t>Statement of Chief Financial Officer pursuant to 18 U.S.C. Section 1350 of Title 18 of the United States Code</w:t>
            </w:r>
          </w:p>
        </w:tc>
        <w:tc>
          <w:tcPr>
            <w:tcW w:w="1500" w:type="dxa"/>
            <w:vAlign w:val="bottom"/>
            <w:shd w:val="clear" w:color="auto" w:fill="CCEEFF"/>
          </w:tcPr>
          <w:p>
            <w:pPr>
              <w:ind w:left="460"/>
              <w:spacing w:after="0" w:line="161" w:lineRule="exact"/>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9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center"/>
              <w:ind w:right="160"/>
              <w:spacing w:after="0"/>
              <w:rPr>
                <w:sz w:val="20"/>
                <w:szCs w:val="20"/>
                <w:color w:val="auto"/>
              </w:rPr>
            </w:pPr>
            <w:r>
              <w:rPr>
                <w:rFonts w:ascii="Arial" w:cs="Arial" w:eastAsia="Arial" w:hAnsi="Arial"/>
                <w:sz w:val="16"/>
                <w:szCs w:val="16"/>
                <w:color w:val="auto"/>
                <w:w w:val="97"/>
              </w:rPr>
              <w:t>Exhibit 101.INS</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Instance Document</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center"/>
              <w:ind w:right="160"/>
              <w:spacing w:after="0"/>
              <w:rPr>
                <w:sz w:val="20"/>
                <w:szCs w:val="20"/>
                <w:color w:val="auto"/>
              </w:rPr>
            </w:pPr>
            <w:r>
              <w:rPr>
                <w:rFonts w:ascii="Arial" w:cs="Arial" w:eastAsia="Arial" w:hAnsi="Arial"/>
                <w:sz w:val="16"/>
                <w:szCs w:val="16"/>
                <w:color w:val="auto"/>
                <w:w w:val="95"/>
              </w:rPr>
              <w:t>Exhibit 101.SCH</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Schema Document</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center"/>
              <w:ind w:right="160"/>
              <w:spacing w:after="0"/>
              <w:rPr>
                <w:sz w:val="20"/>
                <w:szCs w:val="20"/>
                <w:color w:val="auto"/>
              </w:rPr>
            </w:pPr>
            <w:r>
              <w:rPr>
                <w:rFonts w:ascii="Arial" w:cs="Arial" w:eastAsia="Arial" w:hAnsi="Arial"/>
                <w:sz w:val="16"/>
                <w:szCs w:val="16"/>
                <w:color w:val="auto"/>
                <w:w w:val="96"/>
              </w:rPr>
              <w:t>Exhibit 101.PRE</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Presentation Linkbase Document</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99"/>
              </w:rPr>
              <w:t>Exhibit 101.CAL</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Calculation Linkbase Document</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rPr>
              <w:t>Exhibit 101.LAB</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Label Linkbase Document</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center"/>
              <w:ind w:right="160"/>
              <w:spacing w:after="0"/>
              <w:rPr>
                <w:sz w:val="20"/>
                <w:szCs w:val="20"/>
                <w:color w:val="auto"/>
              </w:rPr>
            </w:pPr>
            <w:r>
              <w:rPr>
                <w:rFonts w:ascii="Arial" w:cs="Arial" w:eastAsia="Arial" w:hAnsi="Arial"/>
                <w:sz w:val="16"/>
                <w:szCs w:val="16"/>
                <w:color w:val="auto"/>
                <w:w w:val="96"/>
              </w:rPr>
              <w:t>Exhibit 101.DEF</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Definition Linkbase Document</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197"/>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400"/>
              <w:spacing w:after="0"/>
              <w:rPr>
                <w:sz w:val="20"/>
                <w:szCs w:val="20"/>
                <w:color w:val="auto"/>
              </w:rPr>
            </w:pPr>
            <w:r>
              <w:rPr>
                <w:rFonts w:ascii="Arial" w:cs="Arial" w:eastAsia="Arial" w:hAnsi="Arial"/>
                <w:sz w:val="16"/>
                <w:szCs w:val="16"/>
                <w:color w:val="auto"/>
                <w:w w:val="95"/>
              </w:rPr>
              <w:t>Exhibit 104</w:t>
            </w:r>
          </w:p>
        </w:tc>
        <w:tc>
          <w:tcPr>
            <w:tcW w:w="8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1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Filed herewith</w:t>
            </w:r>
          </w:p>
        </w:tc>
      </w:tr>
      <w:tr>
        <w:trPr>
          <w:trHeight w:val="519"/>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gridSpan w:val="2"/>
          </w:tcPr>
          <w:p>
            <w:pPr>
              <w:ind w:left="3820"/>
              <w:spacing w:after="0"/>
              <w:rPr>
                <w:sz w:val="20"/>
                <w:szCs w:val="20"/>
                <w:color w:val="auto"/>
              </w:rPr>
            </w:pPr>
            <w:r>
              <w:rPr>
                <w:rFonts w:ascii="Arial" w:cs="Arial" w:eastAsia="Arial" w:hAnsi="Arial"/>
                <w:sz w:val="13"/>
                <w:szCs w:val="13"/>
                <w:color w:val="auto"/>
              </w:rPr>
              <w:t>36</w:t>
            </w:r>
          </w:p>
        </w:tc>
        <w:tc>
          <w:tcPr>
            <w:tcW w:w="3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
        </w:trPr>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i w:val="1"/>
          <w:iCs w:val="1"/>
          <w:u w:val="single" w:color="auto"/>
          <w:color w:val="0000EE"/>
        </w:rPr>
        <w:t>Index</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Signatures</w:t>
      </w:r>
    </w:p>
    <w:p>
      <w:pPr>
        <w:spacing w:after="0" w:line="215" w:lineRule="exact"/>
        <w:rPr>
          <w:sz w:val="20"/>
          <w:szCs w:val="20"/>
          <w:color w:val="auto"/>
        </w:rPr>
      </w:pPr>
    </w:p>
    <w:p>
      <w:pPr>
        <w:ind w:right="460" w:firstLine="444"/>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7860" w:type="dxa"/>
            <w:vAlign w:val="bottom"/>
            <w:gridSpan w:val="2"/>
          </w:tcPr>
          <w:p>
            <w:pPr>
              <w:ind w:left="2260"/>
              <w:spacing w:after="0"/>
              <w:rPr>
                <w:sz w:val="20"/>
                <w:szCs w:val="20"/>
                <w:color w:val="auto"/>
              </w:rPr>
            </w:pPr>
            <w:r>
              <w:rPr>
                <w:rFonts w:ascii="Arial" w:cs="Arial" w:eastAsia="Arial" w:hAnsi="Arial"/>
                <w:sz w:val="16"/>
                <w:szCs w:val="16"/>
                <w:b w:val="1"/>
                <w:bCs w:val="1"/>
                <w:color w:val="auto"/>
              </w:rPr>
              <w:t>DONEGAL GROUP INC.</w:t>
            </w:r>
          </w:p>
        </w:tc>
      </w:tr>
      <w:tr>
        <w:trPr>
          <w:trHeight w:val="401"/>
        </w:trPr>
        <w:tc>
          <w:tcPr>
            <w:tcW w:w="3380" w:type="dxa"/>
            <w:vAlign w:val="bottom"/>
          </w:tcPr>
          <w:p>
            <w:pPr>
              <w:spacing w:after="0"/>
              <w:rPr>
                <w:sz w:val="20"/>
                <w:szCs w:val="20"/>
                <w:color w:val="auto"/>
              </w:rPr>
            </w:pPr>
            <w:r>
              <w:rPr>
                <w:rFonts w:ascii="Arial" w:cs="Arial" w:eastAsia="Arial" w:hAnsi="Arial"/>
                <w:sz w:val="16"/>
                <w:szCs w:val="16"/>
                <w:color w:val="auto"/>
              </w:rPr>
              <w:t>November 3, 2023</w:t>
            </w:r>
          </w:p>
        </w:tc>
        <w:tc>
          <w:tcPr>
            <w:tcW w:w="7860" w:type="dxa"/>
            <w:vAlign w:val="bottom"/>
            <w:gridSpan w:val="2"/>
          </w:tcPr>
          <w:p>
            <w:pPr>
              <w:ind w:left="2260"/>
              <w:spacing w:after="0"/>
              <w:rPr>
                <w:sz w:val="20"/>
                <w:szCs w:val="20"/>
                <w:color w:val="auto"/>
              </w:rPr>
            </w:pPr>
            <w:r>
              <w:rPr>
                <w:rFonts w:ascii="Arial" w:cs="Arial" w:eastAsia="Arial" w:hAnsi="Arial"/>
                <w:sz w:val="16"/>
                <w:szCs w:val="16"/>
                <w:b w:val="1"/>
                <w:bCs w:val="1"/>
                <w:color w:val="auto"/>
              </w:rPr>
              <w:t xml:space="preserve">By: </w:t>
            </w:r>
            <w:r>
              <w:rPr>
                <w:rFonts w:ascii="Arial" w:cs="Arial" w:eastAsia="Arial" w:hAnsi="Arial"/>
                <w:sz w:val="16"/>
                <w:szCs w:val="16"/>
                <w:color w:val="auto"/>
              </w:rPr>
              <w:t>/s/ Kevin G. Burke</w:t>
            </w:r>
          </w:p>
        </w:tc>
      </w:tr>
      <w:tr>
        <w:trPr>
          <w:trHeight w:val="209"/>
        </w:trPr>
        <w:tc>
          <w:tcPr>
            <w:tcW w:w="3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Kevin G. Burke, President and Chief Executive Officer</w:t>
            </w:r>
          </w:p>
        </w:tc>
      </w:tr>
      <w:tr>
        <w:trPr>
          <w:trHeight w:val="388"/>
        </w:trPr>
        <w:tc>
          <w:tcPr>
            <w:tcW w:w="3380" w:type="dxa"/>
            <w:vAlign w:val="bottom"/>
          </w:tcPr>
          <w:p>
            <w:pPr>
              <w:spacing w:after="0"/>
              <w:rPr>
                <w:sz w:val="20"/>
                <w:szCs w:val="20"/>
                <w:color w:val="auto"/>
              </w:rPr>
            </w:pPr>
            <w:r>
              <w:rPr>
                <w:rFonts w:ascii="Arial" w:cs="Arial" w:eastAsia="Arial" w:hAnsi="Arial"/>
                <w:sz w:val="16"/>
                <w:szCs w:val="16"/>
                <w:color w:val="auto"/>
              </w:rPr>
              <w:t>November 3, 2023</w:t>
            </w:r>
          </w:p>
        </w:tc>
        <w:tc>
          <w:tcPr>
            <w:tcW w:w="7860" w:type="dxa"/>
            <w:vAlign w:val="bottom"/>
            <w:gridSpan w:val="2"/>
          </w:tcPr>
          <w:p>
            <w:pPr>
              <w:ind w:left="2260"/>
              <w:spacing w:after="0"/>
              <w:rPr>
                <w:sz w:val="20"/>
                <w:szCs w:val="20"/>
                <w:color w:val="auto"/>
              </w:rPr>
            </w:pPr>
            <w:r>
              <w:rPr>
                <w:rFonts w:ascii="Arial" w:cs="Arial" w:eastAsia="Arial" w:hAnsi="Arial"/>
                <w:sz w:val="16"/>
                <w:szCs w:val="16"/>
                <w:b w:val="1"/>
                <w:bCs w:val="1"/>
                <w:color w:val="auto"/>
              </w:rPr>
              <w:t xml:space="preserve">By: </w:t>
            </w:r>
            <w:r>
              <w:rPr>
                <w:rFonts w:ascii="Arial" w:cs="Arial" w:eastAsia="Arial" w:hAnsi="Arial"/>
                <w:sz w:val="16"/>
                <w:szCs w:val="16"/>
                <w:color w:val="auto"/>
              </w:rPr>
              <w:t>/s/ Jeffrey D. Miller</w:t>
            </w:r>
          </w:p>
        </w:tc>
      </w:tr>
      <w:tr>
        <w:trPr>
          <w:trHeight w:val="209"/>
        </w:trPr>
        <w:tc>
          <w:tcPr>
            <w:tcW w:w="3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Jeffrey D. Miller, Executive Vice President and Chief Financial Officer</w:t>
            </w:r>
          </w:p>
        </w:tc>
      </w:tr>
      <w:tr>
        <w:trPr>
          <w:trHeight w:val="570"/>
        </w:trPr>
        <w:tc>
          <w:tcPr>
            <w:tcW w:w="3380" w:type="dxa"/>
            <w:vAlign w:val="bottom"/>
          </w:tcPr>
          <w:p>
            <w:pPr>
              <w:spacing w:after="0"/>
              <w:rPr>
                <w:sz w:val="24"/>
                <w:szCs w:val="24"/>
                <w:color w:val="auto"/>
              </w:rPr>
            </w:pPr>
          </w:p>
        </w:tc>
        <w:tc>
          <w:tcPr>
            <w:tcW w:w="2580" w:type="dxa"/>
            <w:vAlign w:val="bottom"/>
          </w:tcPr>
          <w:p>
            <w:pPr>
              <w:jc w:val="right"/>
              <w:ind w:right="222"/>
              <w:spacing w:after="0"/>
              <w:rPr>
                <w:sz w:val="20"/>
                <w:szCs w:val="20"/>
                <w:color w:val="auto"/>
              </w:rPr>
            </w:pPr>
            <w:r>
              <w:rPr>
                <w:rFonts w:ascii="Arial" w:cs="Arial" w:eastAsia="Arial" w:hAnsi="Arial"/>
                <w:sz w:val="13"/>
                <w:szCs w:val="13"/>
                <w:color w:val="auto"/>
              </w:rPr>
              <w:t>37</w:t>
            </w:r>
          </w:p>
        </w:tc>
        <w:tc>
          <w:tcPr>
            <w:tcW w:w="5280" w:type="dxa"/>
            <w:vAlign w:val="bottom"/>
          </w:tcPr>
          <w:p>
            <w:pPr>
              <w:spacing w:after="0"/>
              <w:rPr>
                <w:sz w:val="24"/>
                <w:szCs w:val="24"/>
                <w:color w:val="auto"/>
              </w:rPr>
            </w:pPr>
          </w:p>
        </w:tc>
      </w:tr>
      <w:tr>
        <w:trPr>
          <w:trHeight w:val="102"/>
        </w:trPr>
        <w:tc>
          <w:tcPr>
            <w:tcW w:w="338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4385"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 Kevin G. Burke, certify that:</w:t>
      </w:r>
    </w:p>
    <w:p>
      <w:pPr>
        <w:spacing w:after="0" w:line="200" w:lineRule="exact"/>
        <w:rPr>
          <w:sz w:val="20"/>
          <w:szCs w:val="20"/>
          <w:color w:val="auto"/>
        </w:rPr>
      </w:pPr>
    </w:p>
    <w:p>
      <w:pPr>
        <w:ind w:left="460" w:hanging="165"/>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2023 of Donegal Group Inc.;</w:t>
      </w:r>
    </w:p>
    <w:p>
      <w:pPr>
        <w:spacing w:after="0" w:line="210" w:lineRule="exact"/>
        <w:rPr>
          <w:rFonts w:ascii="Arial" w:cs="Arial" w:eastAsia="Arial" w:hAnsi="Arial"/>
          <w:sz w:val="16"/>
          <w:szCs w:val="16"/>
          <w:color w:val="auto"/>
        </w:rPr>
      </w:pPr>
    </w:p>
    <w:p>
      <w:pPr>
        <w:ind w:right="40" w:firstLine="295"/>
        <w:spacing w:after="0" w:line="289"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6"/>
          <w:szCs w:val="16"/>
          <w:color w:val="auto"/>
        </w:rPr>
      </w:pPr>
    </w:p>
    <w:p>
      <w:pPr>
        <w:ind w:right="560" w:firstLine="295"/>
        <w:spacing w:after="0" w:line="289"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460" w:hanging="165"/>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99" w:lineRule="exact"/>
        <w:rPr>
          <w:rFonts w:ascii="Arial" w:cs="Arial" w:eastAsia="Arial" w:hAnsi="Arial"/>
          <w:sz w:val="14"/>
          <w:szCs w:val="14"/>
          <w:color w:val="auto"/>
        </w:rPr>
      </w:pPr>
    </w:p>
    <w:p>
      <w:pPr>
        <w:ind w:right="40" w:firstLine="443"/>
        <w:spacing w:after="0" w:line="273" w:lineRule="auto"/>
        <w:tabs>
          <w:tab w:leader="none" w:pos="668"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firstLine="443"/>
        <w:spacing w:after="0" w:line="273" w:lineRule="auto"/>
        <w:tabs>
          <w:tab w:leader="none" w:pos="677"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right="400" w:firstLine="443"/>
        <w:spacing w:after="0" w:line="289" w:lineRule="auto"/>
        <w:tabs>
          <w:tab w:leader="none" w:pos="668"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right="40" w:firstLine="443"/>
        <w:spacing w:after="0" w:line="273" w:lineRule="auto"/>
        <w:tabs>
          <w:tab w:leader="none" w:pos="677"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right="380" w:firstLine="295"/>
        <w:spacing w:after="0" w:line="289" w:lineRule="auto"/>
        <w:tabs>
          <w:tab w:leader="none" w:pos="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rFonts w:ascii="Arial" w:cs="Arial" w:eastAsia="Arial" w:hAnsi="Arial"/>
          <w:sz w:val="16"/>
          <w:szCs w:val="16"/>
          <w:color w:val="auto"/>
        </w:rPr>
      </w:pPr>
    </w:p>
    <w:p>
      <w:pPr>
        <w:ind w:right="580" w:firstLine="443"/>
        <w:spacing w:after="0" w:line="289" w:lineRule="auto"/>
        <w:tabs>
          <w:tab w:leader="none" w:pos="668"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680" w:hanging="237"/>
        <w:spacing w:after="0"/>
        <w:tabs>
          <w:tab w:leader="none" w:pos="680" w:val="left"/>
        </w:tabs>
        <w:numPr>
          <w:ilvl w:val="1"/>
          <w:numId w:val="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reporting.</w:t>
      </w:r>
    </w:p>
    <w:p>
      <w:pPr>
        <w:spacing w:after="0" w:line="200" w:lineRule="exact"/>
        <w:rPr>
          <w:sz w:val="20"/>
          <w:szCs w:val="20"/>
          <w:color w:val="auto"/>
        </w:rPr>
      </w:pPr>
    </w:p>
    <w:p>
      <w:pPr>
        <w:spacing w:after="0"/>
        <w:tabs>
          <w:tab w:leader="none" w:pos="600" w:val="left"/>
          <w:tab w:leader="none" w:pos="5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2023</w:t>
      </w:r>
      <w:r>
        <w:rPr>
          <w:sz w:val="20"/>
          <w:szCs w:val="20"/>
          <w:color w:val="auto"/>
        </w:rPr>
        <w:tab/>
      </w:r>
      <w:r>
        <w:rPr>
          <w:rFonts w:ascii="Arial" w:cs="Arial" w:eastAsia="Arial" w:hAnsi="Arial"/>
          <w:sz w:val="15"/>
          <w:szCs w:val="15"/>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7187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71875" cy="1587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Kevin G. Burke,</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443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4385"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 Jeffrey D. Miller, certify that:</w:t>
      </w:r>
    </w:p>
    <w:p>
      <w:pPr>
        <w:spacing w:after="0" w:line="200" w:lineRule="exact"/>
        <w:rPr>
          <w:sz w:val="20"/>
          <w:szCs w:val="20"/>
          <w:color w:val="auto"/>
        </w:rPr>
      </w:pPr>
    </w:p>
    <w:p>
      <w:pPr>
        <w:ind w:left="460" w:hanging="165"/>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2023 of Donegal Group Inc.;</w:t>
      </w:r>
    </w:p>
    <w:p>
      <w:pPr>
        <w:spacing w:after="0" w:line="210" w:lineRule="exact"/>
        <w:rPr>
          <w:rFonts w:ascii="Arial" w:cs="Arial" w:eastAsia="Arial" w:hAnsi="Arial"/>
          <w:sz w:val="16"/>
          <w:szCs w:val="16"/>
          <w:color w:val="auto"/>
        </w:rPr>
      </w:pPr>
    </w:p>
    <w:p>
      <w:pPr>
        <w:ind w:right="40" w:firstLine="295"/>
        <w:spacing w:after="0" w:line="289" w:lineRule="auto"/>
        <w:tabs>
          <w:tab w:leader="none" w:pos="46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6"/>
          <w:szCs w:val="16"/>
          <w:color w:val="auto"/>
        </w:rPr>
      </w:pPr>
    </w:p>
    <w:p>
      <w:pPr>
        <w:ind w:right="560" w:firstLine="295"/>
        <w:spacing w:after="0" w:line="289" w:lineRule="auto"/>
        <w:tabs>
          <w:tab w:leader="none" w:pos="46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460" w:hanging="165"/>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99" w:lineRule="exact"/>
        <w:rPr>
          <w:rFonts w:ascii="Arial" w:cs="Arial" w:eastAsia="Arial" w:hAnsi="Arial"/>
          <w:sz w:val="14"/>
          <w:szCs w:val="14"/>
          <w:color w:val="auto"/>
        </w:rPr>
      </w:pPr>
    </w:p>
    <w:p>
      <w:pPr>
        <w:ind w:right="40" w:firstLine="443"/>
        <w:spacing w:after="0" w:line="273" w:lineRule="auto"/>
        <w:tabs>
          <w:tab w:leader="none" w:pos="668"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firstLine="443"/>
        <w:spacing w:after="0" w:line="273" w:lineRule="auto"/>
        <w:tabs>
          <w:tab w:leader="none" w:pos="677"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right="400" w:firstLine="443"/>
        <w:spacing w:after="0" w:line="289" w:lineRule="auto"/>
        <w:tabs>
          <w:tab w:leader="none" w:pos="668"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right="40" w:firstLine="443"/>
        <w:spacing w:after="0" w:line="273" w:lineRule="auto"/>
        <w:tabs>
          <w:tab w:leader="none" w:pos="677"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right="380" w:firstLine="295"/>
        <w:spacing w:after="0" w:line="289" w:lineRule="auto"/>
        <w:tabs>
          <w:tab w:leader="none" w:pos="46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rFonts w:ascii="Arial" w:cs="Arial" w:eastAsia="Arial" w:hAnsi="Arial"/>
          <w:sz w:val="16"/>
          <w:szCs w:val="16"/>
          <w:color w:val="auto"/>
        </w:rPr>
      </w:pPr>
    </w:p>
    <w:p>
      <w:pPr>
        <w:ind w:right="580" w:firstLine="443"/>
        <w:spacing w:after="0" w:line="289" w:lineRule="auto"/>
        <w:tabs>
          <w:tab w:leader="none" w:pos="668"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680" w:hanging="237"/>
        <w:spacing w:after="0"/>
        <w:tabs>
          <w:tab w:leader="none" w:pos="680" w:val="left"/>
        </w:tabs>
        <w:numPr>
          <w:ilvl w:val="1"/>
          <w:numId w:val="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reporting.</w:t>
      </w:r>
    </w:p>
    <w:p>
      <w:pPr>
        <w:spacing w:after="0" w:line="200" w:lineRule="exact"/>
        <w:rPr>
          <w:sz w:val="20"/>
          <w:szCs w:val="20"/>
          <w:color w:val="auto"/>
        </w:rPr>
      </w:pPr>
    </w:p>
    <w:p>
      <w:pPr>
        <w:spacing w:after="0"/>
        <w:tabs>
          <w:tab w:leader="none" w:pos="600" w:val="left"/>
          <w:tab w:leader="none" w:pos="5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2023</w:t>
      </w:r>
      <w:r>
        <w:rPr>
          <w:sz w:val="20"/>
          <w:szCs w:val="20"/>
          <w:color w:val="auto"/>
        </w:rPr>
        <w:tab/>
      </w:r>
      <w:r>
        <w:rPr>
          <w:rFonts w:ascii="Arial" w:cs="Arial" w:eastAsia="Arial" w:hAnsi="Arial"/>
          <w:sz w:val="15"/>
          <w:szCs w:val="15"/>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718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71875" cy="1587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Jeffrey D. Miller, Executive Vice President</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4438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4385" cy="31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PRESIDENT AND CHIEF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0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connection with the Annual Report of Donegal Group Inc. (the “Company”), on Form 10-Q for the quarter ended September 30, 2023,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62" w:lineRule="exact"/>
        <w:rPr>
          <w:sz w:val="20"/>
          <w:szCs w:val="20"/>
          <w:color w:val="auto"/>
        </w:rPr>
      </w:pPr>
    </w:p>
    <w:p>
      <w:pPr>
        <w:ind w:left="460" w:hanging="165"/>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0" w:lineRule="exact"/>
        <w:rPr>
          <w:rFonts w:ascii="Arial" w:cs="Arial" w:eastAsia="Arial" w:hAnsi="Arial"/>
          <w:sz w:val="16"/>
          <w:szCs w:val="16"/>
          <w:color w:val="auto"/>
        </w:rPr>
      </w:pPr>
    </w:p>
    <w:p>
      <w:pPr>
        <w:ind w:left="460" w:hanging="165"/>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Date: November 3, 2023</w:t>
      </w:r>
      <w:r>
        <w:rPr>
          <w:sz w:val="20"/>
          <w:szCs w:val="20"/>
          <w:color w:val="auto"/>
        </w:rPr>
        <w:tab/>
      </w:r>
      <w:r>
        <w:rPr>
          <w:rFonts w:ascii="Arial" w:cs="Arial" w:eastAsia="Arial" w:hAnsi="Arial"/>
          <w:sz w:val="15"/>
          <w:szCs w:val="15"/>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7187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71875" cy="1587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714438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4385"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31115"/>
                    </a:xfrm>
                    <a:prstGeom prst="rect">
                      <a:avLst/>
                    </a:prstGeom>
                    <a:noFill/>
                  </pic:spPr>
                </pic:pic>
              </a:graphicData>
            </a:graphic>
          </wp:anchor>
        </w:drawing>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EXECUTIVE VICE PRESIDENT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200"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color w:val="auto"/>
        </w:rPr>
        <w:t>In connection with the Annual Report of Donegal Group Inc. (the “Company”), on Form 10-Q for the quarter ended September 30, 2023,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62" w:lineRule="exact"/>
        <w:rPr>
          <w:sz w:val="20"/>
          <w:szCs w:val="20"/>
          <w:color w:val="auto"/>
        </w:rPr>
      </w:pPr>
    </w:p>
    <w:p>
      <w:pPr>
        <w:ind w:left="460" w:hanging="165"/>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0" w:lineRule="exact"/>
        <w:rPr>
          <w:rFonts w:ascii="Arial" w:cs="Arial" w:eastAsia="Arial" w:hAnsi="Arial"/>
          <w:sz w:val="16"/>
          <w:szCs w:val="16"/>
          <w:color w:val="auto"/>
        </w:rPr>
      </w:pPr>
    </w:p>
    <w:p>
      <w:pPr>
        <w:ind w:left="460" w:hanging="165"/>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Date: November 3, 2023</w:t>
      </w:r>
      <w:r>
        <w:rPr>
          <w:sz w:val="20"/>
          <w:szCs w:val="20"/>
          <w:color w:val="auto"/>
        </w:rPr>
        <w:tab/>
      </w:r>
      <w:r>
        <w:rPr>
          <w:rFonts w:ascii="Arial" w:cs="Arial" w:eastAsia="Arial" w:hAnsi="Arial"/>
          <w:sz w:val="15"/>
          <w:szCs w:val="15"/>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7187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71875" cy="1587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Jeffrey D. Miller, Executive Vice President</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4438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sectPr>
      <w:pgSz w:w="11900" w:h="16838" w:orient="portrait"/>
      <w:cols w:equalWidth="0" w:num="1">
        <w:col w:w="11240"/>
      </w:cols>
      <w:pgMar w:left="320" w:top="2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2023-11-03T11:07:09Z</dcterms:created>
  <dcterms:modified xsi:type="dcterms:W3CDTF">2023-11-03T11:07:09Z</dcterms:modified>
</cp:coreProperties>
</file>