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184150</wp:posOffset>
            </wp:positionV>
            <wp:extent cx="234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83820</wp:posOffset>
            </wp:positionV>
            <wp:extent cx="234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80" w:right="1640" w:hanging="3872"/>
        <w:spacing w:after="0" w:line="261" w:lineRule="auto"/>
        <w:tabs>
          <w:tab w:leader="none" w:pos="48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p>
      <w:pPr>
        <w:jc w:val="center"/>
        <w:ind w:right="-19"/>
        <w:spacing w:after="0"/>
        <w:tabs>
          <w:tab w:leader="none" w:pos="780" w:val="left"/>
          <w:tab w:leader="none" w:pos="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203200</wp:posOffset>
            </wp:positionV>
            <wp:extent cx="23488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Donegal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193040</wp:posOffset>
            </wp:positionV>
            <wp:extent cx="23488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ectPr>
          <w:pgSz w:w="11900" w:h="16838" w:orient="portrait"/>
          <w:cols w:equalWidth="0" w:num="1">
            <w:col w:w="11240"/>
          </w:cols>
          <w:pgMar w:left="320" w:top="522" w:right="339" w:bottom="42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(State or other jurisdiction of</w:t>
      </w:r>
    </w:p>
    <w:p>
      <w:pPr>
        <w:spacing w:after="0" w:line="9"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incorporation or organization)</w:t>
      </w:r>
    </w:p>
    <w:p>
      <w:pPr>
        <w:spacing w:after="0" w:line="9"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1195 River Road, P.O. Box 302, Marietta, PA 17547</w:t>
      </w:r>
    </w:p>
    <w:p>
      <w:pPr>
        <w:spacing w:after="0" w:line="32"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23-2424711</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Identification No.)</w:t>
      </w:r>
    </w:p>
    <w:p>
      <w:pPr>
        <w:spacing w:after="0" w:line="631" w:lineRule="exact"/>
        <w:rPr>
          <w:sz w:val="24"/>
          <w:szCs w:val="24"/>
          <w:color w:val="auto"/>
        </w:rPr>
      </w:pPr>
    </w:p>
    <w:p>
      <w:pPr>
        <w:sectPr>
          <w:pgSz w:w="11900" w:h="16838" w:orient="portrait"/>
          <w:cols w:equalWidth="0" w:num="2">
            <w:col w:w="7580" w:space="140"/>
            <w:col w:w="3520"/>
          </w:cols>
          <w:pgMar w:left="320" w:top="522" w:right="339" w:bottom="429"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(717) 426-1931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522" w:right="339" w:bottom="429"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203200</wp:posOffset>
            </wp:positionV>
            <wp:extent cx="234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93" w:lineRule="exact"/>
        <w:rPr>
          <w:sz w:val="24"/>
          <w:szCs w:val="24"/>
          <w:color w:val="auto"/>
        </w:rPr>
      </w:pPr>
    </w:p>
    <w:p>
      <w:pPr>
        <w:ind w:right="120" w:firstLine="441"/>
        <w:spacing w:after="0" w:line="230"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180" w:firstLine="441"/>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120"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22" w:right="339" w:bottom="429" w:gutter="0" w:footer="0" w:header="0"/>
          <w:type w:val="continuous"/>
        </w:sectPr>
      </w:pPr>
    </w:p>
    <w:p>
      <w:pPr>
        <w:spacing w:after="0" w:line="139"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4">
            <w:col w:w="2300" w:space="720"/>
            <w:col w:w="2060" w:space="720"/>
            <w:col w:w="2540" w:space="720"/>
            <w:col w:w="2180"/>
          </w:cols>
          <w:pgMar w:left="320" w:top="522" w:right="339" w:bottom="429"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522" w:right="339" w:bottom="429" w:gutter="0" w:footer="0" w:header="0"/>
          <w:type w:val="continuous"/>
        </w:sectPr>
      </w:pPr>
    </w:p>
    <w:p>
      <w:pPr>
        <w:spacing w:after="0" w:line="206" w:lineRule="exact"/>
        <w:rPr>
          <w:sz w:val="24"/>
          <w:szCs w:val="24"/>
          <w:color w:val="auto"/>
        </w:rPr>
      </w:pPr>
    </w:p>
    <w:p>
      <w:pPr>
        <w:ind w:right="60" w:firstLine="441"/>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440"/>
        <w:spacing w:after="0" w:line="207" w:lineRule="exact"/>
        <w:tabs>
          <w:tab w:leader="none" w:pos="87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Title of Each Class</w:t>
            </w:r>
          </w:p>
        </w:tc>
        <w:tc>
          <w:tcPr>
            <w:tcW w:w="2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Trading Symbols</w:t>
            </w:r>
          </w:p>
        </w:tc>
        <w:tc>
          <w:tcPr>
            <w:tcW w:w="42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9"/>
              </w:rPr>
              <w:t>Name of Each Exchange on Which Registered</w:t>
            </w:r>
          </w:p>
        </w:tc>
      </w:tr>
      <w:tr>
        <w:trPr>
          <w:trHeight w:val="432"/>
        </w:trPr>
        <w:tc>
          <w:tcPr>
            <w:tcW w:w="424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Class A Common Stock, $.01 par value</w:t>
            </w:r>
          </w:p>
        </w:tc>
        <w:tc>
          <w:tcPr>
            <w:tcW w:w="2760" w:type="dxa"/>
            <w:vAlign w:val="bottom"/>
          </w:tcPr>
          <w:p>
            <w:pPr>
              <w:jc w:val="center"/>
              <w:ind w:left="30"/>
              <w:spacing w:after="0"/>
              <w:rPr>
                <w:sz w:val="20"/>
                <w:szCs w:val="20"/>
                <w:color w:val="auto"/>
              </w:rPr>
            </w:pPr>
            <w:r>
              <w:rPr>
                <w:rFonts w:ascii="Arial" w:cs="Arial" w:eastAsia="Arial" w:hAnsi="Arial"/>
                <w:sz w:val="18"/>
                <w:szCs w:val="18"/>
                <w:b w:val="1"/>
                <w:bCs w:val="1"/>
                <w:color w:val="auto"/>
              </w:rPr>
              <w:t>DGICA</w:t>
            </w:r>
          </w:p>
        </w:tc>
        <w:tc>
          <w:tcPr>
            <w:tcW w:w="424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The NASDAQ Global Select Market</w:t>
            </w:r>
          </w:p>
        </w:tc>
      </w:tr>
      <w:tr>
        <w:trPr>
          <w:trHeight w:val="432"/>
        </w:trPr>
        <w:tc>
          <w:tcPr>
            <w:tcW w:w="424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Class B Common Stock, $.01 par value</w:t>
            </w:r>
          </w:p>
        </w:tc>
        <w:tc>
          <w:tcPr>
            <w:tcW w:w="2760" w:type="dxa"/>
            <w:vAlign w:val="bottom"/>
          </w:tcPr>
          <w:p>
            <w:pPr>
              <w:jc w:val="center"/>
              <w:ind w:left="30"/>
              <w:spacing w:after="0"/>
              <w:rPr>
                <w:sz w:val="20"/>
                <w:szCs w:val="20"/>
                <w:color w:val="auto"/>
              </w:rPr>
            </w:pPr>
            <w:r>
              <w:rPr>
                <w:rFonts w:ascii="Arial" w:cs="Arial" w:eastAsia="Arial" w:hAnsi="Arial"/>
                <w:sz w:val="18"/>
                <w:szCs w:val="18"/>
                <w:b w:val="1"/>
                <w:bCs w:val="1"/>
                <w:color w:val="auto"/>
              </w:rPr>
              <w:t>DGICB</w:t>
            </w:r>
          </w:p>
        </w:tc>
        <w:tc>
          <w:tcPr>
            <w:tcW w:w="424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The NASDAQ Global Select Market</w:t>
            </w:r>
          </w:p>
        </w:tc>
      </w:tr>
    </w:tbl>
    <w:p>
      <w:pPr>
        <w:spacing w:after="0" w:line="202" w:lineRule="exact"/>
        <w:rPr>
          <w:sz w:val="24"/>
          <w:szCs w:val="24"/>
          <w:color w:val="auto"/>
        </w:rPr>
      </w:pPr>
    </w:p>
    <w:p>
      <w:pPr>
        <w:ind w:right="240" w:firstLine="441"/>
        <w:spacing w:after="0" w:line="263"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27,565,594 shares of Class A Common Stock, par value $0.01 per share, and 5,576,775 shares of Class B Common Stock, par value $0.01 per share, outstanding on 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42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DONEGAL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Page</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960" w:type="dxa"/>
            <w:vAlign w:val="bottom"/>
            <w:gridSpan w:val="12"/>
            <w:shd w:val="clear" w:color="auto" w:fill="CCEEFF"/>
          </w:tcPr>
          <w:p>
            <w:pPr>
              <w:ind w:left="220"/>
              <w:spacing w:after="0"/>
              <w:rPr>
                <w:sz w:val="20"/>
                <w:szCs w:val="20"/>
                <w:color w:val="auto"/>
              </w:rPr>
            </w:pPr>
            <w:r>
              <w:rPr>
                <w:rFonts w:ascii="Arial" w:cs="Arial" w:eastAsia="Arial" w:hAnsi="Arial"/>
                <w:sz w:val="18"/>
                <w:szCs w:val="18"/>
                <w:color w:val="auto"/>
              </w:rPr>
              <w:t>FINANCIAL INFORMATION</w:t>
            </w:r>
          </w:p>
        </w:tc>
        <w:tc>
          <w:tcPr>
            <w:tcW w:w="520" w:type="dxa"/>
            <w:vAlign w:val="bottom"/>
            <w:shd w:val="clear" w:color="auto" w:fill="CCEEFF"/>
          </w:tcPr>
          <w:p>
            <w:pPr>
              <w:spacing w:after="0"/>
              <w:rPr>
                <w:sz w:val="18"/>
                <w:szCs w:val="18"/>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960" w:type="dxa"/>
            <w:vAlign w:val="bottom"/>
            <w:gridSpan w:val="12"/>
          </w:tcPr>
          <w:p>
            <w:pPr>
              <w:ind w:left="220"/>
              <w:spacing w:after="0" w:line="176" w:lineRule="exact"/>
              <w:rPr>
                <w:sz w:val="20"/>
                <w:szCs w:val="20"/>
                <w:color w:val="auto"/>
              </w:rPr>
            </w:pPr>
            <w:r>
              <w:rPr>
                <w:rFonts w:ascii="Arial" w:cs="Arial" w:eastAsia="Arial" w:hAnsi="Arial"/>
                <w:sz w:val="18"/>
                <w:szCs w:val="18"/>
                <w:color w:val="0000EE"/>
              </w:rPr>
              <w:t>Financial Statements</w:t>
            </w:r>
          </w:p>
        </w:tc>
        <w:tc>
          <w:tcPr>
            <w:tcW w:w="52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960" w:type="dxa"/>
            <w:vAlign w:val="bottom"/>
            <w:gridSpan w:val="12"/>
            <w:shd w:val="clear" w:color="auto" w:fill="CCEEFF"/>
          </w:tcPr>
          <w:p>
            <w:pPr>
              <w:ind w:left="22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960" w:type="dxa"/>
            <w:vAlign w:val="bottom"/>
            <w:gridSpan w:val="12"/>
          </w:tcPr>
          <w:p>
            <w:pPr>
              <w:ind w:left="2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52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960" w:type="dxa"/>
            <w:vAlign w:val="bottom"/>
            <w:gridSpan w:val="12"/>
            <w:shd w:val="clear" w:color="auto" w:fill="CCEEFF"/>
          </w:tcPr>
          <w:p>
            <w:pPr>
              <w:ind w:left="220"/>
              <w:spacing w:after="0" w:line="176" w:lineRule="exact"/>
              <w:rPr>
                <w:sz w:val="20"/>
                <w:szCs w:val="20"/>
                <w:color w:val="auto"/>
              </w:rPr>
            </w:pPr>
            <w:r>
              <w:rPr>
                <w:rFonts w:ascii="Arial" w:cs="Arial" w:eastAsia="Arial" w:hAnsi="Arial"/>
                <w:sz w:val="18"/>
                <w:szCs w:val="18"/>
                <w:color w:val="0000EE"/>
              </w:rPr>
              <w:t>Controls and Procedures</w:t>
            </w:r>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960" w:type="dxa"/>
            <w:vAlign w:val="bottom"/>
            <w:gridSpan w:val="12"/>
            <w:shd w:val="clear" w:color="auto" w:fill="CCEEFF"/>
          </w:tcPr>
          <w:p>
            <w:pPr>
              <w:ind w:left="220"/>
              <w:spacing w:after="0"/>
              <w:rPr>
                <w:sz w:val="20"/>
                <w:szCs w:val="20"/>
                <w:color w:val="auto"/>
              </w:rPr>
            </w:pPr>
            <w:r>
              <w:rPr>
                <w:rFonts w:ascii="Arial" w:cs="Arial" w:eastAsia="Arial" w:hAnsi="Arial"/>
                <w:sz w:val="18"/>
                <w:szCs w:val="18"/>
                <w:color w:val="auto"/>
              </w:rPr>
              <w:t>OTHER INFORMATION</w:t>
            </w:r>
          </w:p>
        </w:tc>
        <w:tc>
          <w:tcPr>
            <w:tcW w:w="520" w:type="dxa"/>
            <w:vAlign w:val="bottom"/>
            <w:shd w:val="clear" w:color="auto" w:fill="CCEEFF"/>
          </w:tcPr>
          <w:p>
            <w:pPr>
              <w:spacing w:after="0"/>
              <w:rPr>
                <w:sz w:val="18"/>
                <w:szCs w:val="18"/>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960" w:type="dxa"/>
            <w:vAlign w:val="bottom"/>
            <w:gridSpan w:val="12"/>
          </w:tcPr>
          <w:p>
            <w:pPr>
              <w:ind w:left="220"/>
              <w:spacing w:after="0" w:line="176" w:lineRule="exact"/>
              <w:rPr>
                <w:sz w:val="20"/>
                <w:szCs w:val="20"/>
                <w:color w:val="auto"/>
              </w:rPr>
            </w:pPr>
            <w:r>
              <w:rPr>
                <w:rFonts w:ascii="Arial" w:cs="Arial" w:eastAsia="Arial" w:hAnsi="Arial"/>
                <w:sz w:val="18"/>
                <w:szCs w:val="18"/>
                <w:color w:val="0000EE"/>
              </w:rPr>
              <w:t>Legal Proceedings</w:t>
            </w:r>
          </w:p>
        </w:tc>
        <w:tc>
          <w:tcPr>
            <w:tcW w:w="52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960" w:type="dxa"/>
            <w:vAlign w:val="bottom"/>
            <w:gridSpan w:val="12"/>
            <w:shd w:val="clear" w:color="auto" w:fill="CCEEFF"/>
          </w:tcPr>
          <w:p>
            <w:pPr>
              <w:ind w:left="220"/>
              <w:spacing w:after="0" w:line="176" w:lineRule="exact"/>
              <w:rPr>
                <w:sz w:val="20"/>
                <w:szCs w:val="20"/>
                <w:color w:val="auto"/>
              </w:rPr>
            </w:pPr>
            <w:r>
              <w:rPr>
                <w:rFonts w:ascii="Arial" w:cs="Arial" w:eastAsia="Arial" w:hAnsi="Arial"/>
                <w:sz w:val="18"/>
                <w:szCs w:val="18"/>
                <w:color w:val="0000EE"/>
              </w:rPr>
              <w:t>Risk Factors</w:t>
            </w:r>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960" w:type="dxa"/>
            <w:vAlign w:val="bottom"/>
            <w:gridSpan w:val="12"/>
          </w:tcPr>
          <w:p>
            <w:pPr>
              <w:ind w:left="22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520" w:type="dxa"/>
            <w:vAlign w:val="bottom"/>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960" w:type="dxa"/>
            <w:vAlign w:val="bottom"/>
            <w:gridSpan w:val="12"/>
            <w:shd w:val="clear" w:color="auto" w:fill="CCEEFF"/>
          </w:tcPr>
          <w:p>
            <w:pPr>
              <w:ind w:left="220"/>
              <w:spacing w:after="0" w:line="176" w:lineRule="exact"/>
              <w:rPr>
                <w:sz w:val="20"/>
                <w:szCs w:val="20"/>
                <w:color w:val="auto"/>
              </w:rPr>
            </w:pPr>
            <w:r>
              <w:rPr>
                <w:rFonts w:ascii="Arial" w:cs="Arial" w:eastAsia="Arial" w:hAnsi="Arial"/>
                <w:sz w:val="18"/>
                <w:szCs w:val="18"/>
                <w:color w:val="0000EE"/>
              </w:rPr>
              <w:t>Defaults upon Senior Securities</w:t>
            </w:r>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960" w:type="dxa"/>
            <w:vAlign w:val="bottom"/>
            <w:gridSpan w:val="12"/>
          </w:tcPr>
          <w:p>
            <w:pPr>
              <w:ind w:left="220"/>
              <w:spacing w:after="0" w:line="176" w:lineRule="exact"/>
              <w:rPr>
                <w:sz w:val="20"/>
                <w:szCs w:val="20"/>
                <w:color w:val="auto"/>
              </w:rPr>
            </w:pPr>
            <w:r>
              <w:rPr>
                <w:rFonts w:ascii="Arial" w:cs="Arial" w:eastAsia="Arial" w:hAnsi="Arial"/>
                <w:sz w:val="18"/>
                <w:szCs w:val="18"/>
                <w:color w:val="0000EE"/>
              </w:rPr>
              <w:t>Mine Safety Disclosure</w:t>
            </w:r>
          </w:p>
        </w:tc>
        <w:tc>
          <w:tcPr>
            <w:tcW w:w="520" w:type="dxa"/>
            <w:vAlign w:val="bottom"/>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960" w:type="dxa"/>
            <w:vAlign w:val="bottom"/>
            <w:gridSpan w:val="12"/>
            <w:shd w:val="clear" w:color="auto" w:fill="CCEEFF"/>
          </w:tcPr>
          <w:p>
            <w:pPr>
              <w:ind w:left="220"/>
              <w:spacing w:after="0" w:line="176" w:lineRule="exact"/>
              <w:rPr>
                <w:sz w:val="20"/>
                <w:szCs w:val="20"/>
                <w:color w:val="auto"/>
              </w:rPr>
            </w:pPr>
            <w:r>
              <w:rPr>
                <w:rFonts w:ascii="Arial" w:cs="Arial" w:eastAsia="Arial" w:hAnsi="Arial"/>
                <w:sz w:val="18"/>
                <w:szCs w:val="18"/>
                <w:color w:val="0000EE"/>
              </w:rPr>
              <w:t>Other Information</w:t>
            </w:r>
          </w:p>
        </w:tc>
        <w:tc>
          <w:tcPr>
            <w:tcW w:w="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960" w:type="dxa"/>
            <w:vAlign w:val="bottom"/>
            <w:gridSpan w:val="12"/>
          </w:tcPr>
          <w:p>
            <w:pPr>
              <w:ind w:left="220"/>
              <w:spacing w:after="0" w:line="176" w:lineRule="exact"/>
              <w:rPr>
                <w:sz w:val="20"/>
                <w:szCs w:val="20"/>
                <w:color w:val="auto"/>
              </w:rPr>
            </w:pPr>
            <w:r>
              <w:rPr>
                <w:rFonts w:ascii="Arial" w:cs="Arial" w:eastAsia="Arial" w:hAnsi="Arial"/>
                <w:sz w:val="18"/>
                <w:szCs w:val="18"/>
                <w:color w:val="0000EE"/>
              </w:rPr>
              <w:t>Exhibits</w:t>
            </w:r>
          </w:p>
        </w:tc>
        <w:tc>
          <w:tcPr>
            <w:tcW w:w="52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1"/>
        </w:trPr>
        <w:tc>
          <w:tcPr>
            <w:tcW w:w="7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5"/>
              </w:rPr>
              <w:t>Signatures</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398"/>
        </w:trPr>
        <w:tc>
          <w:tcPr>
            <w:tcW w:w="7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3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color w:val="0000EE"/>
        </w:rPr>
        <w:t>Index</w:t>
      </w:r>
    </w:p>
    <w:tbl>
      <w:tblPr>
        <w:tblLayout w:type="fixed"/>
        <w:tblInd w:w="0" w:type="dxa"/>
        <w:tblCellMar>
          <w:top w:w="0" w:type="dxa"/>
          <w:left w:w="0" w:type="dxa"/>
          <w:bottom w:w="0" w:type="dxa"/>
          <w:right w:w="0" w:type="dxa"/>
        </w:tblCellMar>
      </w:tblPr>
      <w:tr>
        <w:trPr>
          <w:trHeight w:val="191"/>
        </w:trPr>
        <w:tc>
          <w:tcPr>
            <w:tcW w:w="32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8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8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Donegal Group Inc. and Subsidiaries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8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Consolidated Balance Sheets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800" w:type="dxa"/>
            <w:vAlign w:val="bottom"/>
            <w:gridSpan w:val="3"/>
            <w:vMerge w:val="continue"/>
          </w:tcPr>
          <w:p>
            <w:pPr>
              <w:spacing w:after="0"/>
              <w:rPr>
                <w:sz w:val="14"/>
                <w:szCs w:val="14"/>
                <w:color w:val="auto"/>
              </w:rPr>
            </w:pPr>
          </w:p>
        </w:tc>
        <w:tc>
          <w:tcPr>
            <w:tcW w:w="19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5"/>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5"/>
          </w:tcPr>
          <w:p>
            <w:pPr>
              <w:ind w:left="180"/>
              <w:spacing w:after="0"/>
              <w:rPr>
                <w:sz w:val="20"/>
                <w:szCs w:val="20"/>
                <w:color w:val="auto"/>
              </w:rPr>
            </w:pPr>
            <w:r>
              <w:rPr>
                <w:rFonts w:ascii="Arial" w:cs="Arial" w:eastAsia="Arial" w:hAnsi="Arial"/>
                <w:sz w:val="18"/>
                <w:szCs w:val="18"/>
                <w:color w:val="auto"/>
              </w:rPr>
              <w:t>Fixed maturities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Held to maturity, at amortized cost (net of allowance for expected credit losses of $1,324,097 and $0)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685,402,417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688,439,360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Arial" w:cs="Arial" w:eastAsia="Arial" w:hAnsi="Arial"/>
                <w:sz w:val="18"/>
                <w:szCs w:val="18"/>
                <w:color w:val="auto"/>
              </w:rPr>
              <w:t>Available for sale, at fair value</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560,737,879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523,791,931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Equity securities, at fair value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38,618,870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5"/>
          </w:tcPr>
          <w:p>
            <w:pPr>
              <w:ind w:left="180"/>
              <w:spacing w:after="0"/>
              <w:rPr>
                <w:sz w:val="20"/>
                <w:szCs w:val="20"/>
                <w:color w:val="auto"/>
              </w:rPr>
            </w:pPr>
            <w:r>
              <w:rPr>
                <w:rFonts w:ascii="Arial" w:cs="Arial" w:eastAsia="Arial" w:hAnsi="Arial"/>
                <w:sz w:val="18"/>
                <w:szCs w:val="18"/>
                <w:color w:val="auto"/>
              </w:rPr>
              <w:t>Short-term investments, at cost, which approximates fair value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23,151,334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57,321,111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1,307,910,500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1,304,657,242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tcPr>
          <w:p>
            <w:pPr>
              <w:spacing w:after="0"/>
              <w:rPr>
                <w:sz w:val="20"/>
                <w:szCs w:val="20"/>
                <w:color w:val="auto"/>
              </w:rPr>
            </w:pPr>
            <w:r>
              <w:rPr>
                <w:rFonts w:ascii="Arial" w:cs="Arial" w:eastAsia="Arial" w:hAnsi="Arial"/>
                <w:sz w:val="18"/>
                <w:szCs w:val="18"/>
                <w:color w:val="auto"/>
              </w:rPr>
              <w:t>Cash</w:t>
            </w:r>
          </w:p>
        </w:tc>
        <w:tc>
          <w:tcPr>
            <w:tcW w:w="19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24,748,033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25,123,332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9,453,217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spacing w:after="0"/>
              <w:rPr>
                <w:sz w:val="20"/>
                <w:szCs w:val="20"/>
                <w:color w:val="auto"/>
              </w:rPr>
            </w:pPr>
            <w:r>
              <w:rPr>
                <w:rFonts w:ascii="Arial" w:cs="Arial" w:eastAsia="Arial" w:hAnsi="Arial"/>
                <w:sz w:val="18"/>
                <w:szCs w:val="18"/>
                <w:color w:val="auto"/>
              </w:rPr>
              <w:t>Premiums receivable</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195,251,963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173,846,294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Reinsurance receivable (net of allowance for expected credit losses of $1,566,819 and $0)</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450,679,908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456,522,223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78,903,043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73,170,230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22,322,064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21,603,017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spacing w:after="0"/>
              <w:rPr>
                <w:sz w:val="20"/>
                <w:szCs w:val="20"/>
                <w:color w:val="auto"/>
              </w:rPr>
            </w:pPr>
            <w:r>
              <w:rPr>
                <w:rFonts w:ascii="Arial" w:cs="Arial" w:eastAsia="Arial" w:hAnsi="Arial"/>
                <w:sz w:val="18"/>
                <w:szCs w:val="18"/>
                <w:color w:val="auto"/>
              </w:rPr>
              <w:t>Prepaid reinsurance premiums</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175,078,615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160,591,399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2,715,757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spacing w:after="0"/>
              <w:rPr>
                <w:sz w:val="20"/>
                <w:szCs w:val="20"/>
                <w:color w:val="auto"/>
              </w:rPr>
            </w:pPr>
            <w:r>
              <w:rPr>
                <w:rFonts w:ascii="Arial" w:cs="Arial" w:eastAsia="Arial" w:hAnsi="Arial"/>
                <w:sz w:val="18"/>
                <w:szCs w:val="18"/>
                <w:color w:val="auto"/>
              </w:rPr>
              <w:t>Accounts receivable - securities</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income taxes recoverable</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7,901,701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spacing w:after="0"/>
              <w:rPr>
                <w:sz w:val="20"/>
                <w:szCs w:val="20"/>
                <w:color w:val="auto"/>
              </w:rPr>
            </w:pPr>
            <w:r>
              <w:rPr>
                <w:rFonts w:ascii="Arial" w:cs="Arial" w:eastAsia="Arial" w:hAnsi="Arial"/>
                <w:sz w:val="18"/>
                <w:szCs w:val="18"/>
                <w:color w:val="auto"/>
              </w:rPr>
              <w:t>Due from affiliate</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6,221,575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9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5,625,354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958,010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958,010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1,165,674</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2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2,288,935,414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2,243,349,335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60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Liabilities</w:t>
            </w:r>
          </w:p>
        </w:tc>
        <w:tc>
          <w:tcPr>
            <w:tcW w:w="1960" w:type="dxa"/>
            <w:vAlign w:val="bottom"/>
            <w:tcBorders>
              <w:top w:val="single" w:sz="8" w:color="auto"/>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Losses and loss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1,122,683,198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1,121,045,758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ind w:left="180"/>
              <w:spacing w:after="0"/>
              <w:rPr>
                <w:sz w:val="20"/>
                <w:szCs w:val="20"/>
                <w:color w:val="auto"/>
              </w:rPr>
            </w:pPr>
            <w:r>
              <w:rPr>
                <w:rFonts w:ascii="Arial" w:cs="Arial" w:eastAsia="Arial" w:hAnsi="Arial"/>
                <w:sz w:val="18"/>
                <w:szCs w:val="18"/>
                <w:color w:val="auto"/>
              </w:rPr>
              <w:t>Unearned premiums</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624,463,273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577,653,130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4,528,151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ind w:left="180"/>
              <w:spacing w:after="0"/>
              <w:rPr>
                <w:sz w:val="20"/>
                <w:szCs w:val="20"/>
                <w:color w:val="auto"/>
              </w:rPr>
            </w:pPr>
            <w:r>
              <w:rPr>
                <w:rFonts w:ascii="Arial" w:cs="Arial" w:eastAsia="Arial" w:hAnsi="Arial"/>
                <w:sz w:val="18"/>
                <w:szCs w:val="18"/>
                <w:color w:val="auto"/>
              </w:rPr>
              <w:t>Reinsurance balances payable</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6,857,814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Borrowings under lines of credit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ind w:left="180"/>
              <w:spacing w:after="0"/>
              <w:rPr>
                <w:sz w:val="20"/>
                <w:szCs w:val="20"/>
                <w:color w:val="auto"/>
              </w:rPr>
            </w:pPr>
            <w:r>
              <w:rPr>
                <w:rFonts w:ascii="Arial" w:cs="Arial" w:eastAsia="Arial" w:hAnsi="Arial"/>
                <w:sz w:val="18"/>
                <w:szCs w:val="18"/>
                <w:color w:val="auto"/>
              </w:rPr>
              <w:t>Cash dividends declared to stockholders</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5,296,990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Due to affiliate</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9,209,412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7,864,942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1,802,741,848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1,759,756,323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authorized 2,000,000 shares; none issued</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00" w:type="dxa"/>
            <w:vAlign w:val="bottom"/>
            <w:gridSpan w:val="5"/>
          </w:tcPr>
          <w:p>
            <w:pPr>
              <w:ind w:left="180"/>
              <w:spacing w:after="0" w:line="201" w:lineRule="exact"/>
              <w:rPr>
                <w:sz w:val="20"/>
                <w:szCs w:val="20"/>
                <w:color w:val="auto"/>
              </w:rPr>
            </w:pPr>
            <w:r>
              <w:rPr>
                <w:rFonts w:ascii="Arial" w:cs="Arial" w:eastAsia="Arial" w:hAnsi="Arial"/>
                <w:sz w:val="18"/>
                <w:szCs w:val="18"/>
                <w:color w:val="auto"/>
              </w:rPr>
              <w:t>Class A common stock, $0.01 par value, authorized 50,000,000 shares, issued 30,538,869</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280" w:type="dxa"/>
            <w:vAlign w:val="bottom"/>
            <w:gridSpan w:val="4"/>
          </w:tcPr>
          <w:p>
            <w:pPr>
              <w:ind w:left="20"/>
              <w:spacing w:after="0"/>
              <w:rPr>
                <w:sz w:val="20"/>
                <w:szCs w:val="20"/>
                <w:color w:val="auto"/>
              </w:rPr>
            </w:pPr>
            <w:r>
              <w:rPr>
                <w:rFonts w:ascii="Arial" w:cs="Arial" w:eastAsia="Arial" w:hAnsi="Arial"/>
                <w:sz w:val="18"/>
                <w:szCs w:val="18"/>
                <w:color w:val="auto"/>
              </w:rPr>
              <w:t>and 30,120,263 shares and outstanding 27,536,281 and 27,117,675 shares</w:t>
            </w: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305,389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00" w:type="dxa"/>
            <w:vAlign w:val="bottom"/>
            <w:gridSpan w:val="5"/>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common stock, $0.01 par value, authorized 10,000,000 shares, issued 5,649,240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shares and outstanding 5,576,775 shares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56,492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gridSpan w:val="5"/>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332,072,996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325,601,647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(45,201,442)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(41,703,747)</w:t>
            </w:r>
          </w:p>
        </w:tc>
        <w:tc>
          <w:tcPr>
            <w:tcW w:w="0" w:type="dxa"/>
            <w:vAlign w:val="bottom"/>
          </w:tcPr>
          <w:p>
            <w:pPr>
              <w:spacing w:after="0"/>
              <w:rPr>
                <w:sz w:val="1"/>
                <w:szCs w:val="1"/>
                <w:color w:val="auto"/>
              </w:rPr>
            </w:pPr>
          </w:p>
        </w:tc>
      </w:tr>
      <w:tr>
        <w:trPr>
          <w:trHeight w:val="216"/>
        </w:trPr>
        <w:tc>
          <w:tcPr>
            <w:tcW w:w="8600" w:type="dxa"/>
            <w:vAlign w:val="bottom"/>
            <w:gridSpan w:val="5"/>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240,186,488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240,563,774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Treasury stock, at cost</w:t>
            </w: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(41,226,357)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(41,226,357)</w:t>
            </w:r>
          </w:p>
        </w:tc>
        <w:tc>
          <w:tcPr>
            <w:tcW w:w="0" w:type="dxa"/>
            <w:vAlign w:val="bottom"/>
          </w:tcPr>
          <w:p>
            <w:pPr>
              <w:spacing w:after="0"/>
              <w:rPr>
                <w:sz w:val="1"/>
                <w:szCs w:val="1"/>
                <w:color w:val="auto"/>
              </w:rPr>
            </w:pPr>
          </w:p>
        </w:tc>
      </w:tr>
      <w:tr>
        <w:trPr>
          <w:trHeight w:val="223"/>
        </w:trPr>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12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486,193,566</w:t>
            </w:r>
          </w:p>
        </w:tc>
        <w:tc>
          <w:tcPr>
            <w:tcW w:w="140" w:type="dxa"/>
            <w:vAlign w:val="bottom"/>
            <w:tcBorders>
              <w:top w:val="single" w:sz="8" w:color="CCEEFF"/>
            </w:tcBorders>
            <w:gridSpan w:val="2"/>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483,593,012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2,288,935,414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2,243,349,335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Donegal Group Inc. and Subsidiaries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80" w:type="dxa"/>
            <w:vAlign w:val="bottom"/>
            <w:gridSpan w:val="9"/>
          </w:tcPr>
          <w:p>
            <w:pPr>
              <w:jc w:val="right"/>
              <w:ind w:right="190"/>
              <w:spacing w:after="0"/>
              <w:rPr>
                <w:sz w:val="20"/>
                <w:szCs w:val="20"/>
                <w:color w:val="auto"/>
              </w:rPr>
            </w:pPr>
            <w:r>
              <w:rPr>
                <w:rFonts w:ascii="Arial" w:cs="Arial" w:eastAsia="Arial" w:hAnsi="Arial"/>
                <w:sz w:val="18"/>
                <w:szCs w:val="18"/>
                <w:b w:val="1"/>
                <w:bCs w:val="1"/>
                <w:color w:val="auto"/>
                <w:w w:val="93"/>
              </w:rPr>
              <w:t>Three Months Ended June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2023</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216,260,037</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204,128,489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Investment income, net of investment expenses</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10,157,459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8,203,846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Net investment gains (losses) (includes $147,636 and $287,861 accumulated other comprehensive income</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reclassifications)</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2,504,012</w:t>
            </w:r>
          </w:p>
        </w:tc>
        <w:tc>
          <w:tcPr>
            <w:tcW w:w="2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(8,376,713)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86,708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Installment payment fees</w:t>
            </w:r>
          </w:p>
        </w:tc>
        <w:tc>
          <w:tcPr>
            <w:tcW w:w="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187,703</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257,305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229,195,919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204,311,149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Net losses and loss expenses</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151,234,696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141,608,361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37,935,000</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35,172,000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Other underwriting expenses</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35,948,337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36,235,198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Policyholder dividends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1,345,638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1,288,744</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154,636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239,725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net</w:t>
            </w:r>
          </w:p>
        </w:tc>
        <w:tc>
          <w:tcPr>
            <w:tcW w:w="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324,134</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226,942,441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214,890,228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4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2,253,478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(10,579,079)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w w:val="94"/>
              </w:rPr>
              <w:t>Income tax expense (benefit) (includes $31,003 and $60,451 income tax expense from reclassification items)</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256,055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(2,371,322)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1,997,423</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(8,207,757</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26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 basic and diluted</w:t>
            </w:r>
          </w:p>
        </w:tc>
        <w:tc>
          <w:tcPr>
            <w:tcW w:w="68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Pr>
          <w:p>
            <w:pPr>
              <w:ind w:left="180"/>
              <w:spacing w:after="0"/>
              <w:rPr>
                <w:sz w:val="20"/>
                <w:szCs w:val="20"/>
                <w:color w:val="auto"/>
              </w:rPr>
            </w:pPr>
            <w:r>
              <w:rPr>
                <w:rFonts w:ascii="Arial" w:cs="Arial" w:eastAsia="Arial" w:hAnsi="Arial"/>
                <w:sz w:val="18"/>
                <w:szCs w:val="18"/>
                <w:color w:val="auto"/>
              </w:rPr>
              <w:t>Class B common stock - basic and diluted</w:t>
            </w:r>
          </w:p>
        </w:tc>
        <w:tc>
          <w:tcPr>
            <w:tcW w:w="68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jc w:val="center"/>
              <w:ind w:left="2890"/>
              <w:spacing w:after="0"/>
              <w:rPr>
                <w:sz w:val="20"/>
                <w:szCs w:val="20"/>
                <w:color w:val="auto"/>
              </w:rPr>
            </w:pPr>
            <w:r>
              <w:rPr>
                <w:rFonts w:ascii="Arial" w:cs="Arial" w:eastAsia="Arial" w:hAnsi="Arial"/>
                <w:sz w:val="18"/>
                <w:szCs w:val="18"/>
                <w:b w:val="1"/>
                <w:bCs w:val="1"/>
                <w:color w:val="auto"/>
                <w:w w:val="90"/>
              </w:rPr>
              <w:t>Donegal Group Inc. and Subsidiaries</w:t>
            </w: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260" w:type="dxa"/>
            <w:vAlign w:val="bottom"/>
          </w:tcPr>
          <w:p>
            <w:pPr>
              <w:jc w:val="center"/>
              <w:ind w:left="291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jc w:val="center"/>
              <w:ind w:left="2890"/>
              <w:spacing w:after="0"/>
              <w:rPr>
                <w:sz w:val="20"/>
                <w:szCs w:val="20"/>
                <w:color w:val="auto"/>
              </w:rPr>
            </w:pPr>
            <w:r>
              <w:rPr>
                <w:rFonts w:ascii="Arial" w:cs="Arial" w:eastAsia="Arial" w:hAnsi="Arial"/>
                <w:sz w:val="18"/>
                <w:szCs w:val="18"/>
                <w:color w:val="auto"/>
                <w:w w:val="93"/>
              </w:rPr>
              <w:t>(Unaudited)</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8"/>
          </w:tcPr>
          <w:p>
            <w:pPr>
              <w:spacing w:after="0"/>
              <w:rPr>
                <w:sz w:val="20"/>
                <w:szCs w:val="20"/>
                <w:color w:val="auto"/>
              </w:rPr>
            </w:pPr>
            <w:r>
              <w:rPr>
                <w:rFonts w:ascii="Arial" w:cs="Arial" w:eastAsia="Arial" w:hAnsi="Arial"/>
                <w:sz w:val="18"/>
                <w:szCs w:val="18"/>
                <w:b w:val="1"/>
                <w:bCs w:val="1"/>
                <w:color w:val="auto"/>
                <w:w w:val="93"/>
              </w:rPr>
              <w:t>Three Months Ended June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1,997,423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(8,207,757)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securities: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40"/>
              <w:spacing w:after="0"/>
              <w:rPr>
                <w:sz w:val="20"/>
                <w:szCs w:val="20"/>
                <w:color w:val="auto"/>
              </w:rPr>
            </w:pPr>
            <w:r>
              <w:rPr>
                <w:rFonts w:ascii="Arial" w:cs="Arial" w:eastAsia="Arial" w:hAnsi="Arial"/>
                <w:sz w:val="18"/>
                <w:szCs w:val="18"/>
                <w:color w:val="auto"/>
              </w:rPr>
              <w:t>Unrealized holding loss during the period, net of income tax benefit of $1,964,085 and $3,174,636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(7,388,700)</w:t>
            </w:r>
          </w:p>
        </w:tc>
        <w:tc>
          <w:tcPr>
            <w:tcW w:w="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(11,942,679)</w:t>
            </w:r>
          </w:p>
        </w:tc>
        <w:tc>
          <w:tcPr>
            <w:tcW w:w="0" w:type="dxa"/>
            <w:vAlign w:val="bottom"/>
          </w:tcPr>
          <w:p>
            <w:pPr>
              <w:spacing w:after="0"/>
              <w:rPr>
                <w:sz w:val="1"/>
                <w:szCs w:val="1"/>
                <w:color w:val="auto"/>
              </w:rPr>
            </w:pPr>
          </w:p>
        </w:tc>
      </w:tr>
      <w:tr>
        <w:trPr>
          <w:trHeight w:val="216"/>
        </w:trPr>
        <w:tc>
          <w:tcPr>
            <w:tcW w:w="8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0"/>
              </w:rPr>
              <w:t>Reclassification adjustment for gains included in net income (loss), net of income tax expense of $ 31,003 and $60,451</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(116,633)</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(227,410)</w:t>
            </w:r>
          </w:p>
        </w:tc>
        <w:tc>
          <w:tcPr>
            <w:tcW w:w="0" w:type="dxa"/>
            <w:vAlign w:val="bottom"/>
          </w:tcPr>
          <w:p>
            <w:pPr>
              <w:spacing w:after="0"/>
              <w:rPr>
                <w:sz w:val="1"/>
                <w:szCs w:val="1"/>
                <w:color w:val="auto"/>
              </w:rPr>
            </w:pPr>
          </w:p>
        </w:tc>
      </w:tr>
      <w:tr>
        <w:trPr>
          <w:trHeight w:val="27"/>
        </w:trPr>
        <w:tc>
          <w:tcPr>
            <w:tcW w:w="8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(7,505,333)</w:t>
            </w:r>
          </w:p>
        </w:tc>
        <w:tc>
          <w:tcPr>
            <w:tcW w:w="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(12,170,089)</w:t>
            </w:r>
          </w:p>
        </w:tc>
        <w:tc>
          <w:tcPr>
            <w:tcW w:w="0" w:type="dxa"/>
            <w:vAlign w:val="bottom"/>
          </w:tcPr>
          <w:p>
            <w:pPr>
              <w:spacing w:after="0"/>
              <w:rPr>
                <w:sz w:val="1"/>
                <w:szCs w:val="1"/>
                <w:color w:val="auto"/>
              </w:rPr>
            </w:pPr>
          </w:p>
        </w:tc>
      </w:tr>
      <w:tr>
        <w:trPr>
          <w:trHeight w:val="237"/>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80" w:type="dxa"/>
            <w:vAlign w:val="bottom"/>
            <w:gridSpan w:val="2"/>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(5,507,910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(20,377,846</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Donegal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431,493,197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403,377,113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Investment income, net of investment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19,606,537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16,062,727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Net investment gains (losses) (includes ($2,052,037) and $453,215 accumulated other comprehensive income</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reclassifications)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2,172,823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(8,452,960)</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176,055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Installment payment fees</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493,078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453,941,690</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411,937,866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Net losses and loss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289,340,585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259,491,363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75,733,000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Other underwriting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76,559,774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73,341,502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Policyholder dividends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2,688,978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307,593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net</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761,849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445,391,779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406,290,706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8,549,911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w w:val="93"/>
              </w:rPr>
              <w:t>Income tax expense (includes ($430,928) and $95,175 income tax (benefit) expense from reclassification items)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1,348,892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7,201,019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4,937,272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 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tcPr>
          <w:p>
            <w:pPr>
              <w:ind w:left="180"/>
              <w:spacing w:after="0"/>
              <w:rPr>
                <w:sz w:val="20"/>
                <w:szCs w:val="20"/>
                <w:color w:val="auto"/>
              </w:rPr>
            </w:pPr>
            <w:r>
              <w:rPr>
                <w:rFonts w:ascii="Arial" w:cs="Arial" w:eastAsia="Arial" w:hAnsi="Arial"/>
                <w:sz w:val="18"/>
                <w:szCs w:val="18"/>
                <w:color w:val="auto"/>
              </w:rPr>
              <w:t>Class B common stock - basic and 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jc w:val="center"/>
              <w:ind w:left="2770"/>
              <w:spacing w:after="0"/>
              <w:rPr>
                <w:sz w:val="20"/>
                <w:szCs w:val="20"/>
                <w:color w:val="auto"/>
              </w:rPr>
            </w:pPr>
            <w:r>
              <w:rPr>
                <w:rFonts w:ascii="Arial" w:cs="Arial" w:eastAsia="Arial" w:hAnsi="Arial"/>
                <w:sz w:val="18"/>
                <w:szCs w:val="18"/>
                <w:b w:val="1"/>
                <w:bCs w:val="1"/>
                <w:color w:val="auto"/>
                <w:w w:val="90"/>
              </w:rPr>
              <w:t>Donegal Group Inc. and Subsidiaries</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80" w:type="dxa"/>
            <w:vAlign w:val="bottom"/>
          </w:tcPr>
          <w:p>
            <w:pPr>
              <w:jc w:val="center"/>
              <w:ind w:left="2770"/>
              <w:spacing w:after="0"/>
              <w:rPr>
                <w:sz w:val="20"/>
                <w:szCs w:val="20"/>
                <w:color w:val="auto"/>
              </w:rPr>
            </w:pPr>
            <w:r>
              <w:rPr>
                <w:rFonts w:ascii="Arial" w:cs="Arial" w:eastAsia="Arial" w:hAnsi="Arial"/>
                <w:sz w:val="18"/>
                <w:szCs w:val="18"/>
                <w:b w:val="1"/>
                <w:bCs w:val="1"/>
                <w:color w:val="auto"/>
                <w:w w:val="88"/>
              </w:rPr>
              <w:t>Consolidated Statements of Comprehensive Income (Loss)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jc w:val="center"/>
              <w:ind w:left="2770"/>
              <w:spacing w:after="0"/>
              <w:rPr>
                <w:sz w:val="20"/>
                <w:szCs w:val="20"/>
                <w:color w:val="auto"/>
              </w:rPr>
            </w:pPr>
            <w:r>
              <w:rPr>
                <w:rFonts w:ascii="Arial" w:cs="Arial" w:eastAsia="Arial" w:hAnsi="Arial"/>
                <w:sz w:val="18"/>
                <w:szCs w:val="18"/>
                <w:color w:val="auto"/>
                <w:w w:val="93"/>
              </w:rPr>
              <w:t>(Unaudited)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7,201,019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Unrealized holding loss during the period, net of income tax benefit of $1,360,695 and $8,613,264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(5,118,804)</w:t>
            </w:r>
          </w:p>
        </w:tc>
        <w:tc>
          <w:tcPr>
            <w:tcW w:w="1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(32,402,274)</w:t>
            </w:r>
          </w:p>
        </w:tc>
        <w:tc>
          <w:tcPr>
            <w:tcW w:w="0" w:type="dxa"/>
            <w:vAlign w:val="bottom"/>
          </w:tcPr>
          <w:p>
            <w:pPr>
              <w:spacing w:after="0"/>
              <w:rPr>
                <w:sz w:val="1"/>
                <w:szCs w:val="1"/>
                <w:color w:val="auto"/>
              </w:rPr>
            </w:pPr>
          </w:p>
        </w:tc>
      </w:tr>
      <w:tr>
        <w:trPr>
          <w:trHeight w:val="202"/>
        </w:trPr>
        <w:tc>
          <w:tcPr>
            <w:tcW w:w="8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Reclassification adjustment for losses (gains) included in net income, net of income tax (benefit) expense of</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($430,928) and $95,175</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1,621,109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(358,040)</w:t>
            </w:r>
          </w:p>
        </w:tc>
        <w:tc>
          <w:tcPr>
            <w:tcW w:w="0" w:type="dxa"/>
            <w:vAlign w:val="bottom"/>
          </w:tcPr>
          <w:p>
            <w:pPr>
              <w:spacing w:after="0"/>
              <w:rPr>
                <w:sz w:val="1"/>
                <w:szCs w:val="1"/>
                <w:color w:val="auto"/>
              </w:rPr>
            </w:pPr>
          </w:p>
        </w:tc>
      </w:tr>
      <w:tr>
        <w:trPr>
          <w:trHeight w:val="27"/>
        </w:trPr>
        <w:tc>
          <w:tcPr>
            <w:tcW w:w="8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(3,497,695)</w:t>
            </w:r>
          </w:p>
        </w:tc>
        <w:tc>
          <w:tcPr>
            <w:tcW w:w="1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(32,760,314)</w:t>
            </w:r>
          </w:p>
        </w:tc>
        <w:tc>
          <w:tcPr>
            <w:tcW w:w="0" w:type="dxa"/>
            <w:vAlign w:val="bottom"/>
          </w:tcPr>
          <w:p>
            <w:pPr>
              <w:spacing w:after="0"/>
              <w:rPr>
                <w:sz w:val="1"/>
                <w:szCs w:val="1"/>
                <w:color w:val="auto"/>
              </w:rPr>
            </w:pPr>
          </w:p>
        </w:tc>
      </w:tr>
      <w:tr>
        <w:trPr>
          <w:trHeight w:val="256"/>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3,703,324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(27,823,042</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Donegal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01"/>
              <w:spacing w:after="0"/>
              <w:rPr>
                <w:sz w:val="20"/>
                <w:szCs w:val="20"/>
                <w:color w:val="auto"/>
              </w:rPr>
            </w:pPr>
            <w:r>
              <w:rPr>
                <w:rFonts w:ascii="Arial" w:cs="Arial" w:eastAsia="Arial" w:hAnsi="Arial"/>
                <w:sz w:val="18"/>
                <w:szCs w:val="18"/>
                <w:color w:val="auto"/>
                <w:w w:val="92"/>
              </w:rPr>
              <w:t>Accumulated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1"/>
              <w:spacing w:after="0"/>
              <w:rPr>
                <w:sz w:val="20"/>
                <w:szCs w:val="20"/>
                <w:color w:val="auto"/>
              </w:rPr>
            </w:pPr>
            <w:r>
              <w:rPr>
                <w:rFonts w:ascii="Arial" w:cs="Arial" w:eastAsia="Arial" w:hAnsi="Arial"/>
                <w:sz w:val="18"/>
                <w:szCs w:val="18"/>
                <w:color w:val="auto"/>
                <w:w w:val="88"/>
              </w:rPr>
              <w:t>Other</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Total</w:t>
            </w:r>
          </w:p>
        </w:tc>
      </w:tr>
      <w:tr>
        <w:trPr>
          <w:trHeight w:val="216"/>
        </w:trPr>
        <w:tc>
          <w:tcPr>
            <w:tcW w:w="22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Class B</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Class A</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Class B</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w w:val="96"/>
              </w:rPr>
              <w:t>Comprehensive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Retained</w:t>
            </w: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Treasury</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Stockholders’</w:t>
            </w:r>
          </w:p>
        </w:tc>
      </w:tr>
      <w:tr>
        <w:trPr>
          <w:trHeight w:val="237"/>
        </w:trPr>
        <w:tc>
          <w:tcPr>
            <w:tcW w:w="22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720" w:type="dxa"/>
            <w:vAlign w:val="bottom"/>
          </w:tcPr>
          <w:p>
            <w:pPr>
              <w:jc w:val="right"/>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Amount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261"/>
              <w:spacing w:after="0"/>
              <w:rPr>
                <w:sz w:val="20"/>
                <w:szCs w:val="20"/>
                <w:color w:val="auto"/>
              </w:rPr>
            </w:pPr>
            <w:r>
              <w:rPr>
                <w:rFonts w:ascii="Arial" w:cs="Arial" w:eastAsia="Arial" w:hAnsi="Arial"/>
                <w:sz w:val="18"/>
                <w:szCs w:val="18"/>
                <w:color w:val="auto"/>
                <w:w w:val="89"/>
              </w:rPr>
              <w:t>Loss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Stock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Balance, December 31, 2022</w:t>
            </w:r>
          </w:p>
        </w:tc>
        <w:tc>
          <w:tcPr>
            <w:tcW w:w="8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shd w:val="clear" w:color="auto" w:fill="CCEEFF"/>
              </w:rPr>
              <w:t>30,120,263</w:t>
            </w: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shd w:val="clear" w:color="auto" w:fill="CCEEFF"/>
              </w:rPr>
              <w:t>5,649,240</w:t>
            </w: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$ 301,203</w:t>
            </w: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shd w:val="clear" w:color="auto" w:fill="CCEEFF"/>
              </w:rPr>
              <w:t>$ 56,492</w:t>
            </w: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$325,601,647</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shd w:val="clear" w:color="auto" w:fill="CCEEFF"/>
              </w:rPr>
              <w:t>(41,703,747)</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$240,563,774</w:t>
            </w: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shd w:val="clear" w:color="auto" w:fill="CCEEFF"/>
              </w:rPr>
              <w:t>$(41,226,357)</w:t>
            </w:r>
          </w:p>
        </w:tc>
        <w:tc>
          <w:tcPr>
            <w:tcW w:w="120" w:type="dxa"/>
            <w:vAlign w:val="bottom"/>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shd w:val="clear" w:color="auto" w:fill="CCEEFF"/>
              </w:rPr>
              <w:t>$483,593,012</w:t>
            </w: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200" w:type="dxa"/>
            <w:vAlign w:val="bottom"/>
          </w:tcPr>
          <w:p>
            <w:pPr>
              <w:ind w:left="180"/>
              <w:spacing w:after="0"/>
              <w:rPr>
                <w:sz w:val="20"/>
                <w:szCs w:val="20"/>
                <w:color w:val="auto"/>
              </w:rPr>
            </w:pPr>
            <w:r>
              <w:rPr>
                <w:rFonts w:ascii="Arial" w:cs="Arial" w:eastAsia="Arial" w:hAnsi="Arial"/>
                <w:sz w:val="18"/>
                <w:szCs w:val="18"/>
                <w:color w:val="auto"/>
                <w:w w:val="91"/>
              </w:rPr>
              <w:t>(stock compensation plans)</w:t>
            </w:r>
          </w:p>
        </w:tc>
        <w:tc>
          <w:tcPr>
            <w:tcW w:w="860" w:type="dxa"/>
            <w:vAlign w:val="bottom"/>
          </w:tcPr>
          <w:p>
            <w:pPr>
              <w:jc w:val="right"/>
              <w:spacing w:after="0"/>
              <w:rPr>
                <w:sz w:val="20"/>
                <w:szCs w:val="20"/>
                <w:color w:val="auto"/>
              </w:rPr>
            </w:pPr>
            <w:r>
              <w:rPr>
                <w:rFonts w:ascii="Arial" w:cs="Arial" w:eastAsia="Arial" w:hAnsi="Arial"/>
                <w:sz w:val="18"/>
                <w:szCs w:val="18"/>
                <w:color w:val="auto"/>
              </w:rPr>
              <w:t>35,045</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440,746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441,096</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Share-based compensation</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2,218,355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2,219,786</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5,203,596</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5,203,596</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(7,057)</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Grant of stock options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114,724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(114,724)</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w:t>
            </w: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adoption of updated</w:t>
            </w: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guidance for credit losses</w:t>
            </w: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r>
      <w:tr>
        <w:trPr>
          <w:trHeight w:val="23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January 1, 2023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(1,895,902)</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(1,895,902)</w:t>
            </w:r>
          </w:p>
        </w:tc>
      </w:tr>
      <w:tr>
        <w:trPr>
          <w:trHeight w:val="223"/>
        </w:trPr>
        <w:tc>
          <w:tcPr>
            <w:tcW w:w="2200" w:type="dxa"/>
            <w:vAlign w:val="bottom"/>
          </w:tcPr>
          <w:p>
            <w:pPr>
              <w:spacing w:after="0"/>
              <w:rPr>
                <w:sz w:val="20"/>
                <w:szCs w:val="20"/>
                <w:color w:val="auto"/>
              </w:rPr>
            </w:pPr>
            <w:r>
              <w:rPr>
                <w:rFonts w:ascii="Arial" w:cs="Arial" w:eastAsia="Arial" w:hAnsi="Arial"/>
                <w:sz w:val="18"/>
                <w:szCs w:val="18"/>
                <w:color w:val="auto"/>
                <w:w w:val="92"/>
              </w:rPr>
              <w:t>Other comprehensive income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4,007,638</w:t>
            </w: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4,007,638</w:t>
            </w:r>
          </w:p>
        </w:tc>
      </w:tr>
      <w:tr>
        <w:trPr>
          <w:trHeight w:val="223"/>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2023</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30,298,312</w:t>
            </w:r>
          </w:p>
        </w:tc>
        <w:tc>
          <w:tcPr>
            <w:tcW w:w="10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5,649,240</w:t>
            </w:r>
          </w:p>
        </w:tc>
        <w:tc>
          <w:tcPr>
            <w:tcW w:w="10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$ 302,984</w:t>
            </w:r>
          </w:p>
        </w:tc>
        <w:tc>
          <w:tcPr>
            <w:tcW w:w="10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$ 56,492</w:t>
            </w:r>
          </w:p>
        </w:tc>
        <w:tc>
          <w:tcPr>
            <w:tcW w:w="120" w:type="dxa"/>
            <w:vAlign w:val="bottom"/>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328,375,472</w:t>
            </w: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(37,696,109</w:t>
            </w:r>
          </w:p>
        </w:tc>
        <w:tc>
          <w:tcPr>
            <w:tcW w:w="12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243,749,687</w:t>
            </w:r>
          </w:p>
        </w:tc>
        <w:tc>
          <w:tcPr>
            <w:tcW w:w="120" w:type="dxa"/>
            <w:vAlign w:val="bottom"/>
            <w:tcBorders>
              <w:right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(41,226,357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493,562,169</w:t>
            </w:r>
          </w:p>
        </w:tc>
      </w:tr>
      <w:tr>
        <w:trPr>
          <w:trHeight w:val="202"/>
        </w:trPr>
        <w:tc>
          <w:tcPr>
            <w:tcW w:w="22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Issuance of common stock</w:t>
            </w: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0"/>
        </w:trPr>
        <w:tc>
          <w:tcPr>
            <w:tcW w:w="2200" w:type="dxa"/>
            <w:vAlign w:val="bottom"/>
          </w:tcPr>
          <w:p>
            <w:pPr>
              <w:ind w:left="180"/>
              <w:spacing w:after="0"/>
              <w:rPr>
                <w:sz w:val="20"/>
                <w:szCs w:val="20"/>
                <w:color w:val="auto"/>
              </w:rPr>
            </w:pPr>
            <w:r>
              <w:rPr>
                <w:rFonts w:ascii="Arial" w:cs="Arial" w:eastAsia="Arial" w:hAnsi="Arial"/>
                <w:sz w:val="18"/>
                <w:szCs w:val="18"/>
                <w:color w:val="auto"/>
                <w:w w:val="91"/>
              </w:rPr>
              <w:t>(stock compensation plans)</w:t>
            </w:r>
          </w:p>
        </w:tc>
        <w:tc>
          <w:tcPr>
            <w:tcW w:w="860" w:type="dxa"/>
            <w:vAlign w:val="bottom"/>
          </w:tcPr>
          <w:p>
            <w:pPr>
              <w:jc w:val="right"/>
              <w:spacing w:after="0"/>
              <w:rPr>
                <w:sz w:val="20"/>
                <w:szCs w:val="20"/>
                <w:color w:val="auto"/>
              </w:rPr>
            </w:pPr>
            <w:r>
              <w:rPr>
                <w:rFonts w:ascii="Arial" w:cs="Arial" w:eastAsia="Arial" w:hAnsi="Arial"/>
                <w:sz w:val="18"/>
                <w:szCs w:val="18"/>
                <w:color w:val="auto"/>
              </w:rPr>
              <w:t>44,664</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668,933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669,380</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Share-based compensation</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195,893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2,966,842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2,968,800</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1,997,423</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1,997,423</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(5,498,873)</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(5,498,873)</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Grant of stock options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(61,749)</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(7,505,333)</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(7,505,333)</w:t>
            </w:r>
          </w:p>
        </w:tc>
      </w:tr>
      <w:tr>
        <w:trPr>
          <w:trHeight w:val="27"/>
        </w:trPr>
        <w:tc>
          <w:tcPr>
            <w:tcW w:w="220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Balance, June 30, 2023</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30,538,869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5,649,240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$ 305,389</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$ 56,492</w:t>
            </w:r>
          </w:p>
        </w:tc>
        <w:tc>
          <w:tcPr>
            <w:tcW w:w="9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332,072,996</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180" w:type="dxa"/>
            <w:vAlign w:val="bottom"/>
            <w:gridSpan w:val="4"/>
          </w:tcPr>
          <w:p>
            <w:pPr>
              <w:jc w:val="right"/>
              <w:ind w:right="120"/>
              <w:spacing w:after="0"/>
              <w:rPr>
                <w:sz w:val="20"/>
                <w:szCs w:val="20"/>
                <w:color w:val="auto"/>
              </w:rPr>
            </w:pPr>
            <w:r>
              <w:rPr>
                <w:rFonts w:ascii="Arial" w:cs="Arial" w:eastAsia="Arial" w:hAnsi="Arial"/>
                <w:sz w:val="18"/>
                <w:szCs w:val="18"/>
                <w:color w:val="auto"/>
                <w:w w:val="93"/>
              </w:rPr>
              <w:t xml:space="preserve">(45,201,442) </w:t>
            </w:r>
            <w:r>
              <w:rPr>
                <w:rFonts w:ascii="Arial" w:cs="Arial" w:eastAsia="Arial" w:hAnsi="Arial"/>
                <w:sz w:val="18"/>
                <w:szCs w:val="18"/>
                <w:u w:val="single" w:color="auto"/>
                <w:color w:val="auto"/>
                <w:w w:val="93"/>
              </w:rPr>
              <w:t>$</w:t>
            </w:r>
            <w:r>
              <w:rPr>
                <w:rFonts w:ascii="Arial" w:cs="Arial" w:eastAsia="Arial" w:hAnsi="Arial"/>
                <w:sz w:val="18"/>
                <w:szCs w:val="18"/>
                <w:color w:val="auto"/>
                <w:w w:val="93"/>
              </w:rPr>
              <w:t>240,186,488</w:t>
            </w:r>
          </w:p>
        </w:tc>
        <w:tc>
          <w:tcPr>
            <w:tcW w:w="21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(41,226,357)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486,193,566</w:t>
            </w:r>
          </w:p>
        </w:tc>
      </w:tr>
      <w:tr>
        <w:trPr>
          <w:trHeight w:val="20"/>
        </w:trPr>
        <w:tc>
          <w:tcPr>
            <w:tcW w:w="2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9"/>
          </w:tcPr>
          <w:p>
            <w:pPr>
              <w:jc w:val="center"/>
              <w:ind w:right="741"/>
              <w:spacing w:after="0"/>
              <w:rPr>
                <w:sz w:val="20"/>
                <w:szCs w:val="20"/>
                <w:color w:val="auto"/>
              </w:rPr>
            </w:pPr>
            <w:r>
              <w:rPr>
                <w:rFonts w:ascii="Arial" w:cs="Arial" w:eastAsia="Arial" w:hAnsi="Arial"/>
                <w:sz w:val="18"/>
                <w:szCs w:val="18"/>
                <w:b w:val="1"/>
                <w:bCs w:val="1"/>
                <w:color w:val="auto"/>
                <w:w w:val="90"/>
              </w:rPr>
              <w:t>Donegal Group Inc. and Subsidiaries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20" w:type="dxa"/>
            <w:vAlign w:val="bottom"/>
            <w:gridSpan w:val="11"/>
          </w:tcPr>
          <w:p>
            <w:pPr>
              <w:jc w:val="center"/>
              <w:ind w:left="10"/>
              <w:spacing w:after="0"/>
              <w:rPr>
                <w:sz w:val="20"/>
                <w:szCs w:val="20"/>
                <w:color w:val="auto"/>
              </w:rPr>
            </w:pPr>
            <w:r>
              <w:rPr>
                <w:rFonts w:ascii="Arial" w:cs="Arial" w:eastAsia="Arial" w:hAnsi="Arial"/>
                <w:sz w:val="18"/>
                <w:szCs w:val="18"/>
                <w:b w:val="1"/>
                <w:bCs w:val="1"/>
                <w:color w:val="auto"/>
                <w:w w:val="89"/>
              </w:rPr>
              <w:t>Consolidated Statement of Stockholders’ Equity</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13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90"/>
              </w:rPr>
              <w:t>Six Months Ended June 30, 2022</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8"/>
        </w:trPr>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101"/>
              <w:spacing w:after="0"/>
              <w:rPr>
                <w:sz w:val="20"/>
                <w:szCs w:val="20"/>
                <w:color w:val="auto"/>
              </w:rPr>
            </w:pPr>
            <w:r>
              <w:rPr>
                <w:rFonts w:ascii="Arial" w:cs="Arial" w:eastAsia="Arial" w:hAnsi="Arial"/>
                <w:sz w:val="18"/>
                <w:szCs w:val="18"/>
                <w:color w:val="auto"/>
                <w:w w:val="92"/>
              </w:rPr>
              <w:t>Accumulated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1"/>
              <w:spacing w:after="0"/>
              <w:rPr>
                <w:sz w:val="20"/>
                <w:szCs w:val="20"/>
                <w:color w:val="auto"/>
              </w:rPr>
            </w:pPr>
            <w:r>
              <w:rPr>
                <w:rFonts w:ascii="Arial" w:cs="Arial" w:eastAsia="Arial" w:hAnsi="Arial"/>
                <w:sz w:val="18"/>
                <w:szCs w:val="18"/>
                <w:color w:val="auto"/>
                <w:w w:val="88"/>
              </w:rPr>
              <w:t>Other</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Total</w:t>
            </w:r>
          </w:p>
        </w:tc>
      </w:tr>
      <w:tr>
        <w:trPr>
          <w:trHeight w:val="216"/>
        </w:trPr>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Class B</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Class A</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Class B</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w w:val="96"/>
              </w:rPr>
              <w:t>Comprehensive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Retained</w:t>
            </w: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Treasury</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Stockholders’</w:t>
            </w:r>
          </w:p>
        </w:tc>
      </w:tr>
      <w:tr>
        <w:trPr>
          <w:trHeight w:val="237"/>
        </w:trPr>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720" w:type="dxa"/>
            <w:vAlign w:val="bottom"/>
          </w:tcPr>
          <w:p>
            <w:pPr>
              <w:jc w:val="right"/>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Amount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20"/>
                <w:szCs w:val="20"/>
                <w:color w:val="auto"/>
              </w:rPr>
            </w:pPr>
          </w:p>
        </w:tc>
        <w:tc>
          <w:tcPr>
            <w:tcW w:w="1260" w:type="dxa"/>
            <w:vAlign w:val="bottom"/>
            <w:gridSpan w:val="3"/>
          </w:tcPr>
          <w:p>
            <w:pPr>
              <w:jc w:val="center"/>
              <w:ind w:right="101"/>
              <w:spacing w:after="0"/>
              <w:rPr>
                <w:sz w:val="20"/>
                <w:szCs w:val="20"/>
                <w:color w:val="auto"/>
              </w:rPr>
            </w:pPr>
            <w:r>
              <w:rPr>
                <w:rFonts w:ascii="Arial" w:cs="Arial" w:eastAsia="Arial" w:hAnsi="Arial"/>
                <w:sz w:val="18"/>
                <w:szCs w:val="18"/>
                <w:color w:val="auto"/>
                <w:w w:val="91"/>
              </w:rPr>
              <w:t>Income (Loss)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Stock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Balance, December 31, 2021</w:t>
            </w:r>
          </w:p>
        </w:tc>
        <w:tc>
          <w:tcPr>
            <w:tcW w:w="8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28,756,203</w:t>
            </w: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5,649,240</w:t>
            </w: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$ 287,562</w:t>
            </w: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$ 56,492</w:t>
            </w: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$304,889,481</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3,283,551</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$263,745,358</w:t>
            </w: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$(41,226,357)</w:t>
            </w:r>
          </w:p>
        </w:tc>
        <w:tc>
          <w:tcPr>
            <w:tcW w:w="120" w:type="dxa"/>
            <w:vAlign w:val="bottom"/>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$531,036,087</w:t>
            </w:r>
          </w:p>
        </w:tc>
      </w:tr>
      <w:tr>
        <w:trPr>
          <w:trHeight w:val="202"/>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200" w:type="dxa"/>
            <w:vAlign w:val="bottom"/>
            <w:gridSpan w:val="2"/>
          </w:tcPr>
          <w:p>
            <w:pPr>
              <w:ind w:left="180"/>
              <w:spacing w:after="0"/>
              <w:rPr>
                <w:sz w:val="20"/>
                <w:szCs w:val="20"/>
                <w:color w:val="auto"/>
              </w:rPr>
            </w:pPr>
            <w:r>
              <w:rPr>
                <w:rFonts w:ascii="Arial" w:cs="Arial" w:eastAsia="Arial" w:hAnsi="Arial"/>
                <w:sz w:val="18"/>
                <w:szCs w:val="18"/>
                <w:color w:val="auto"/>
                <w:w w:val="91"/>
              </w:rPr>
              <w:t>(stock compensation plans)</w:t>
            </w:r>
          </w:p>
        </w:tc>
        <w:tc>
          <w:tcPr>
            <w:tcW w:w="860" w:type="dxa"/>
            <w:vAlign w:val="bottom"/>
          </w:tcPr>
          <w:p>
            <w:pPr>
              <w:jc w:val="right"/>
              <w:spacing w:after="0"/>
              <w:rPr>
                <w:sz w:val="20"/>
                <w:szCs w:val="20"/>
                <w:color w:val="auto"/>
              </w:rPr>
            </w:pPr>
            <w:r>
              <w:rPr>
                <w:rFonts w:ascii="Arial" w:cs="Arial" w:eastAsia="Arial" w:hAnsi="Arial"/>
                <w:sz w:val="18"/>
                <w:szCs w:val="18"/>
                <w:color w:val="auto"/>
              </w:rPr>
              <w:t>33,407</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423,665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424,000</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Share-based compensation</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256,460</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13,145,029</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13,145,029</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(5,490)</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(5,490)</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Grant of stock options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98,409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(98,409)</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(20,590,225)</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(20,590,225)</w:t>
            </w:r>
          </w:p>
        </w:tc>
      </w:tr>
      <w:tr>
        <w:trPr>
          <w:trHeight w:val="27"/>
        </w:trPr>
        <w:tc>
          <w:tcPr>
            <w:tcW w:w="3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8"/>
                <w:szCs w:val="18"/>
                <w:color w:val="auto"/>
              </w:rPr>
              <w:t>Balance, March 31, 2022</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28,790,510</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5,649,240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$ 287,906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$ 56,492</w:t>
            </w:r>
          </w:p>
        </w:tc>
        <w:tc>
          <w:tcPr>
            <w:tcW w:w="9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305,668,006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16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 xml:space="preserve">(17,306,674) </w:t>
            </w:r>
            <w:r>
              <w:rPr>
                <w:rFonts w:ascii="Arial" w:cs="Arial" w:eastAsia="Arial" w:hAnsi="Arial"/>
                <w:sz w:val="18"/>
                <w:szCs w:val="18"/>
                <w:u w:val="single" w:color="auto"/>
                <w:color w:val="auto"/>
                <w:w w:val="92"/>
              </w:rPr>
              <w:t>$</w:t>
            </w:r>
            <w:r>
              <w:rPr>
                <w:rFonts w:ascii="Arial" w:cs="Arial" w:eastAsia="Arial" w:hAnsi="Arial"/>
                <w:sz w:val="18"/>
                <w:szCs w:val="18"/>
                <w:color w:val="auto"/>
                <w:w w:val="92"/>
              </w:rPr>
              <w:t>276,786,488</w:t>
            </w:r>
          </w:p>
        </w:tc>
        <w:tc>
          <w:tcPr>
            <w:tcW w:w="21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(41,226,357)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524,265,861</w:t>
            </w:r>
          </w:p>
        </w:tc>
      </w:tr>
      <w:tr>
        <w:trPr>
          <w:trHeight w:val="202"/>
        </w:trPr>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top w:val="single" w:sz="8" w:color="auto"/>
              <w:right w:val="single" w:sz="8" w:color="CCEEFF"/>
            </w:tcBorders>
            <w:shd w:val="clear" w:color="auto" w:fill="CCEEFF"/>
          </w:tcPr>
          <w:p>
            <w:pPr>
              <w:spacing w:after="0"/>
              <w:rPr>
                <w:sz w:val="17"/>
                <w:szCs w:val="17"/>
                <w:color w:val="auto"/>
              </w:rPr>
            </w:pPr>
          </w:p>
        </w:tc>
      </w:tr>
      <w:tr>
        <w:trPr>
          <w:trHeight w:val="230"/>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(stock compensation plans)</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736,896</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w w:val="99"/>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775,898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11,476,429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11,484,188</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(8,207,757)</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(8,207,757)</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Cash dividends declared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(5,086,617)</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(5,086,617)</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of stock options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(59,216)</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2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w w:val="94"/>
              </w:rPr>
              <w:t>(12,170,089)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(12,170,089)</w:t>
            </w:r>
          </w:p>
        </w:tc>
      </w:tr>
      <w:tr>
        <w:trPr>
          <w:trHeight w:val="23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2022</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29,621,151</w:t>
            </w:r>
          </w:p>
        </w:tc>
        <w:tc>
          <w:tcPr>
            <w:tcW w:w="100" w:type="dxa"/>
            <w:vAlign w:val="bottom"/>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5,649,240</w:t>
            </w:r>
          </w:p>
        </w:tc>
        <w:tc>
          <w:tcPr>
            <w:tcW w:w="100" w:type="dxa"/>
            <w:vAlign w:val="bottom"/>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$ 296,212</w:t>
            </w:r>
          </w:p>
        </w:tc>
        <w:tc>
          <w:tcPr>
            <w:tcW w:w="100" w:type="dxa"/>
            <w:vAlign w:val="bottom"/>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$ 56,492</w:t>
            </w:r>
          </w:p>
        </w:tc>
        <w:tc>
          <w:tcPr>
            <w:tcW w:w="120" w:type="dxa"/>
            <w:vAlign w:val="bottom"/>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317,940,000</w:t>
            </w:r>
          </w:p>
        </w:tc>
        <w:tc>
          <w:tcPr>
            <w:tcW w:w="1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(29,476,763</w:t>
            </w:r>
          </w:p>
        </w:tc>
        <w:tc>
          <w:tcPr>
            <w:tcW w:w="12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263,432,898</w:t>
            </w:r>
          </w:p>
        </w:tc>
        <w:tc>
          <w:tcPr>
            <w:tcW w:w="120" w:type="dxa"/>
            <w:vAlign w:val="bottom"/>
            <w:tcBorders>
              <w:right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(41,226,357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511,022,482</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Donegal Group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8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7,201,019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4,937,272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other non-cash items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2,191,794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2,606,357</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Net investment (gains) losses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(2,172,823)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8,452,960</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Losses and loss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1,637,440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5,734,163</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premiums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46,810,143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28,980,638</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Premiums receivable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(21,405,669)</w:t>
            </w:r>
          </w:p>
        </w:tc>
        <w:tc>
          <w:tcPr>
            <w:tcW w:w="1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(21,461,440)</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acquisition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(5,732,813)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(6,218,852)</w:t>
            </w: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714,695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(2,169,602)</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Reinsurance receivable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4,710,479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10,260,212</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Prepaid reinsurance premiums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(14,487,216)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4,529,942</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investment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(591,925)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(251,516)</w:t>
            </w: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Due from affiliate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(11,394,864)</w:t>
            </w:r>
          </w:p>
        </w:tc>
        <w:tc>
          <w:tcPr>
            <w:tcW w:w="1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(423,200)</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Reinsurance balances payable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3,361,990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105,323</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Current income taxes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609,196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(1,645,525)</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768,030</w:t>
            </w: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1,301,884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784,642</w:t>
            </w:r>
          </w:p>
        </w:tc>
        <w:tc>
          <w:tcPr>
            <w:tcW w:w="100" w:type="dxa"/>
            <w:vAlign w:val="bottom"/>
          </w:tcPr>
          <w:p>
            <w:pPr>
              <w:spacing w:after="0"/>
              <w:rPr>
                <w:sz w:val="19"/>
                <w:szCs w:val="19"/>
                <w:color w:val="auto"/>
              </w:rPr>
            </w:pPr>
          </w:p>
        </w:tc>
      </w:tr>
      <w:tr>
        <w:trPr>
          <w:trHeight w:val="223"/>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adjustments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5,854,072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30,052,132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6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13,055,091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34,989,404</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Purchases of fixed maturities, held to maturity</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(23,242,218)</w:t>
            </w:r>
          </w:p>
        </w:tc>
        <w:tc>
          <w:tcPr>
            <w:tcW w:w="1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(59,637,406)</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fixed maturities, available for sale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(99,497,145)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(61,330,076)</w:t>
            </w: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Purchases of equity securities, available for sale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(3,608,514)</w:t>
            </w:r>
          </w:p>
        </w:tc>
        <w:tc>
          <w:tcPr>
            <w:tcW w:w="1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(5,276,815)</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Maturity of fixed maturities: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500"/>
              <w:spacing w:after="0"/>
              <w:rPr>
                <w:sz w:val="20"/>
                <w:szCs w:val="20"/>
                <w:color w:val="auto"/>
              </w:rPr>
            </w:pPr>
            <w:r>
              <w:rPr>
                <w:rFonts w:ascii="Arial" w:cs="Arial" w:eastAsia="Arial" w:hAnsi="Arial"/>
                <w:sz w:val="18"/>
                <w:szCs w:val="18"/>
                <w:color w:val="auto"/>
              </w:rPr>
              <w:t>Held to maturity</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25,869,261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28,714,632</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Available for sale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25,585,850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43,862,739</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Sales of fixed maturities: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Available for sale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28,154,556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Sales of equity securities, available for sale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4,375,411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14,529,635</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(purchases) sales of property and equipment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(44,703)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ind w:left="340"/>
              <w:spacing w:after="0"/>
              <w:rPr>
                <w:sz w:val="20"/>
                <w:szCs w:val="20"/>
                <w:color w:val="auto"/>
              </w:rPr>
            </w:pPr>
            <w:r>
              <w:rPr>
                <w:rFonts w:ascii="Arial" w:cs="Arial" w:eastAsia="Arial" w:hAnsi="Arial"/>
                <w:sz w:val="18"/>
                <w:szCs w:val="18"/>
                <w:color w:val="auto"/>
              </w:rPr>
              <w:t>Net sales (purchases) of short-term investments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34,169,777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(33,992,374)</w:t>
            </w:r>
          </w:p>
        </w:tc>
      </w:tr>
      <w:tr>
        <w:trPr>
          <w:trHeight w:val="223"/>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(8,237,725)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(73,101,376</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paid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(10,802,920)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(10,007,375)</w:t>
            </w:r>
          </w:p>
        </w:tc>
      </w:tr>
      <w:tr>
        <w:trPr>
          <w:trHeight w:val="223"/>
        </w:trPr>
        <w:tc>
          <w:tcPr>
            <w:tcW w:w="86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5,610,255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12,220,689</w:t>
            </w:r>
          </w:p>
        </w:tc>
        <w:tc>
          <w:tcPr>
            <w:tcW w:w="100" w:type="dxa"/>
            <w:vAlign w:val="bottom"/>
          </w:tcPr>
          <w:p>
            <w:pPr>
              <w:spacing w:after="0"/>
              <w:rPr>
                <w:sz w:val="19"/>
                <w:szCs w:val="19"/>
                <w:color w:val="auto"/>
              </w:rPr>
            </w:pPr>
          </w:p>
        </w:tc>
      </w:tr>
      <w:tr>
        <w:trPr>
          <w:trHeight w:val="223"/>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(5,192,665)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2,213,314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(375,299)</w:t>
            </w:r>
          </w:p>
        </w:tc>
        <w:tc>
          <w:tcPr>
            <w:tcW w:w="1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(35,898,658)</w:t>
            </w: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25,123,332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57,709,375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24,748,033</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21,810,717</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paid during period -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304,204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307,747</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paid during period -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DONEGAL GROUP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1 -</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Donegal Mutual Insurance Company (“Donegal Mutual”) organized us as an insurance holding company on August 26, 1986. Our insurance subsidiaries, Atlantic States Insurance Company (“Atlantic States”), Michigan Insurance Company (“MICO”), Southern Insurance Company of Virginia (“Southern”) and the Peninsula Insurance Group (“Peninsula”), which consists of Peninsula Indemnity Company and The Peninsula Insurance Company, and our affiliates write personal and commercial lines of property and casualty coverages exclusively through a network of independent insurance agents in certain Mid-Atlantic, Midwestern, New England, Southern and Southwestern states.</w:t>
      </w:r>
    </w:p>
    <w:p>
      <w:pPr>
        <w:spacing w:after="0" w:line="188"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color w:val="auto"/>
        </w:rPr>
        <w:t>At June 30, 2023,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49"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At June 30, 2023, Donegal Mutual held approximately 43% of our outstanding Class A common stock and approximately 84% of our outstanding Class B common stock. This ownership provides Donegal Mutual with approximately 71%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78" w:lineRule="exact"/>
        <w:rPr>
          <w:sz w:val="20"/>
          <w:szCs w:val="20"/>
          <w:color w:val="auto"/>
        </w:rPr>
      </w:pPr>
    </w:p>
    <w:p>
      <w:pPr>
        <w:ind w:right="80" w:firstLine="441"/>
        <w:spacing w:after="0" w:line="301" w:lineRule="auto"/>
        <w:rPr>
          <w:sz w:val="20"/>
          <w:szCs w:val="20"/>
          <w:color w:val="auto"/>
        </w:rPr>
      </w:pPr>
      <w:r>
        <w:rPr>
          <w:rFonts w:ascii="Arial" w:cs="Arial" w:eastAsia="Arial" w:hAnsi="Arial"/>
          <w:sz w:val="16"/>
          <w:szCs w:val="16"/>
          <w:color w:val="auto"/>
        </w:rPr>
        <w:t>Atlantic States, our largest subsidiary, participates in a proportional reinsurance agreement, or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57"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84"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relate to specific risk profiles targeted within similar classes of business, such as preferred tier versus standard tier products, but we do not allocate all of the standard risk gradients to one company.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2 -</w:t>
      </w:r>
      <w:r>
        <w:rPr>
          <w:sz w:val="20"/>
          <w:szCs w:val="20"/>
          <w:color w:val="auto"/>
        </w:rPr>
        <w:tab/>
      </w:r>
      <w:r>
        <w:rPr>
          <w:rFonts w:ascii="Arial" w:cs="Arial" w:eastAsia="Arial" w:hAnsi="Arial"/>
          <w:sz w:val="15"/>
          <w:szCs w:val="15"/>
          <w:b w:val="1"/>
          <w:bCs w:val="1"/>
          <w:color w:val="auto"/>
        </w:rPr>
        <w:t>Basis of Presentation</w:t>
      </w:r>
    </w:p>
    <w:p>
      <w:pPr>
        <w:spacing w:after="0" w:line="209"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presentation of our financial position, results of operations and cash flows for those interim periods. Our results of operations for the six months ended June 30, 2023 are not necessarily indicative of the results of operations we expect for the year ending December 31, 2023.</w:t>
      </w:r>
    </w:p>
    <w:p>
      <w:pPr>
        <w:spacing w:after="0" w:line="171"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We recommend you read the interim financial statements we include in this Form 10-Q Report in conjunction with the financial statements and the notes to our financial statements contained in our Annual Report on Form 10-K for the year ended December 31, 2022.</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3 -</w:t>
      </w:r>
      <w:r>
        <w:rPr>
          <w:sz w:val="20"/>
          <w:szCs w:val="20"/>
          <w:color w:val="auto"/>
        </w:rPr>
        <w:tab/>
      </w:r>
      <w:r>
        <w:rPr>
          <w:rFonts w:ascii="Arial" w:cs="Arial" w:eastAsia="Arial" w:hAnsi="Arial"/>
          <w:sz w:val="16"/>
          <w:szCs w:val="16"/>
          <w:b w:val="1"/>
          <w:bCs w:val="1"/>
          <w:color w:val="auto"/>
        </w:rPr>
        <w:t>Net Income (Loss) Per Share</w:t>
      </w:r>
    </w:p>
    <w:p>
      <w:pPr>
        <w:spacing w:after="0" w:line="22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(loss) per share. The two-class method is an earnings allocation formula that determines net income (loss) per share separately for each class of common stock based on dividends we have declared and an allocation of our remaining undistributed net income (loss) using a participation percentage that reflects the dividend rights of each class. The table below presents for the periods indicated a reconciliation of the numerators and denominators we used to compute basic and diluted net income (loss) per share for our Class A common stock and our Class B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w w:val="92"/>
              </w:rPr>
              <w:t>Three Months Ended June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Class A</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Class B</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Class A</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Class 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8"/>
          </w:tcPr>
          <w:p>
            <w:pPr>
              <w:jc w:val="right"/>
              <w:ind w:right="140"/>
              <w:spacing w:after="0"/>
              <w:rPr>
                <w:sz w:val="20"/>
                <w:szCs w:val="20"/>
                <w:color w:val="auto"/>
              </w:rPr>
            </w:pPr>
            <w:r>
              <w:rPr>
                <w:rFonts w:ascii="Arial" w:cs="Arial" w:eastAsia="Arial" w:hAnsi="Arial"/>
                <w:sz w:val="18"/>
                <w:szCs w:val="18"/>
                <w:color w:val="auto"/>
                <w:w w:val="91"/>
              </w:rPr>
              <w:t>(in thousands, except per share data)</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86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net income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w:t>
            </w:r>
          </w:p>
        </w:tc>
        <w:tc>
          <w:tcPr>
            <w:tcW w:w="4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Denominator:</w:t>
            </w: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w:t>
            </w:r>
          </w:p>
        </w:tc>
        <w:tc>
          <w:tcPr>
            <w:tcW w:w="1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40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net income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w:t>
            </w:r>
          </w:p>
        </w:tc>
        <w:tc>
          <w:tcPr>
            <w:tcW w:w="4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Denominator:</w:t>
            </w: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Number of shares used in basic computation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40"/>
              <w:spacing w:after="0"/>
              <w:rPr>
                <w:sz w:val="20"/>
                <w:szCs w:val="20"/>
                <w:color w:val="auto"/>
              </w:rPr>
            </w:pPr>
            <w:r>
              <w:rPr>
                <w:rFonts w:ascii="Arial" w:cs="Arial" w:eastAsia="Arial" w:hAnsi="Arial"/>
                <w:sz w:val="18"/>
                <w:szCs w:val="18"/>
                <w:color w:val="auto"/>
              </w:rPr>
              <w:t>Weighted-average shares effect of dilutive securities: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Director and employee stock options</w:t>
            </w:r>
          </w:p>
        </w:tc>
        <w:tc>
          <w:tcPr>
            <w:tcW w:w="1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Number of shares used in diluted computation</w:t>
            </w:r>
          </w:p>
        </w:tc>
        <w:tc>
          <w:tcPr>
            <w:tcW w:w="1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27,489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4860" w:type="dxa"/>
            <w:vAlign w:val="bottom"/>
          </w:tcPr>
          <w:p>
            <w:pPr>
              <w:spacing w:after="0"/>
              <w:rPr>
                <w:sz w:val="24"/>
                <w:szCs w:val="24"/>
                <w:color w:val="auto"/>
              </w:rPr>
            </w:pPr>
          </w:p>
        </w:tc>
        <w:tc>
          <w:tcPr>
            <w:tcW w:w="1100" w:type="dxa"/>
            <w:vAlign w:val="bottom"/>
          </w:tcPr>
          <w:p>
            <w:pPr>
              <w:jc w:val="right"/>
              <w:ind w:right="215"/>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8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4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 June 30,</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Class A</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Class B</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Class A</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Class 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8"/>
          </w:tcPr>
          <w:p>
            <w:pPr>
              <w:jc w:val="center"/>
              <w:spacing w:after="0"/>
              <w:rPr>
                <w:sz w:val="20"/>
                <w:szCs w:val="20"/>
                <w:color w:val="auto"/>
              </w:rPr>
            </w:pPr>
            <w:r>
              <w:rPr>
                <w:rFonts w:ascii="Arial" w:cs="Arial" w:eastAsia="Arial" w:hAnsi="Arial"/>
                <w:sz w:val="18"/>
                <w:szCs w:val="18"/>
                <w:color w:val="auto"/>
                <w:w w:val="87"/>
              </w:rPr>
              <w:t>(in thousands, except per share data)</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6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Numerator:</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0" w:type="dxa"/>
            <w:vAlign w:val="bottom"/>
            <w:shd w:val="clear" w:color="auto" w:fill="CCEEFF"/>
          </w:tcPr>
          <w:p>
            <w:pPr>
              <w:spacing w:after="0"/>
              <w:rPr>
                <w:sz w:val="22"/>
                <w:szCs w:val="22"/>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Denominator:</w:t>
            </w: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27,288</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Numerator: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 w:type="dxa"/>
            <w:vAlign w:val="bottom"/>
            <w:shd w:val="clear" w:color="auto" w:fill="CCEEFF"/>
          </w:tcPr>
          <w:p>
            <w:pPr>
              <w:spacing w:after="0"/>
              <w:rPr>
                <w:sz w:val="22"/>
                <w:szCs w:val="22"/>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Denominator:</w:t>
            </w: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used in basic computation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Weighted-average shares effect of dilutive securities: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 and employee stock options</w:t>
            </w:r>
          </w:p>
        </w:tc>
        <w:tc>
          <w:tcPr>
            <w:tcW w:w="9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Number of shares used in diluted computation</w:t>
            </w:r>
          </w:p>
        </w:tc>
        <w:tc>
          <w:tcPr>
            <w:tcW w:w="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27,428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We did not include outstanding options to purchase the following number of shares of Class A common stock in our computation of diluted net income per share because the exercise price of the options exceeded the average market price of our Class A common stock during the applicable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20" w:type="dxa"/>
            <w:vAlign w:val="bottom"/>
          </w:tcPr>
          <w:p>
            <w:pPr>
              <w:spacing w:after="0"/>
              <w:rPr>
                <w:sz w:val="20"/>
                <w:szCs w:val="20"/>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Three Months Ended June 30,</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9"/>
              </w:rPr>
              <w:t>Six Months Ended June 30,</w:t>
            </w:r>
          </w:p>
        </w:tc>
        <w:tc>
          <w:tcPr>
            <w:tcW w:w="100" w:type="dxa"/>
            <w:vAlign w:val="bottom"/>
          </w:tcPr>
          <w:p>
            <w:pPr>
              <w:spacing w:after="0"/>
              <w:rPr>
                <w:sz w:val="20"/>
                <w:szCs w:val="20"/>
                <w:color w:val="auto"/>
              </w:rPr>
            </w:pPr>
          </w:p>
        </w:tc>
      </w:tr>
      <w:tr>
        <w:trPr>
          <w:trHeight w:val="223"/>
        </w:trPr>
        <w:tc>
          <w:tcPr>
            <w:tcW w:w="5720" w:type="dxa"/>
            <w:vAlign w:val="bottom"/>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149"/>
        </w:trPr>
        <w:tc>
          <w:tcPr>
            <w:tcW w:w="5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 to purchase Class A shares excluded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2,262,435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2,262,435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731,600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did not include any effect of dilutive securities in the computation of diluted net income (loss) per share for the three months ended June 30, 2022 because we sustained a net loss for the period.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4 -</w:t>
      </w:r>
      <w:r>
        <w:rPr>
          <w:sz w:val="20"/>
          <w:szCs w:val="20"/>
          <w:color w:val="auto"/>
        </w:rPr>
        <w:tab/>
      </w:r>
      <w:r>
        <w:rPr>
          <w:rFonts w:ascii="Arial" w:cs="Arial" w:eastAsia="Arial" w:hAnsi="Arial"/>
          <w:sz w:val="15"/>
          <w:szCs w:val="15"/>
          <w:b w:val="1"/>
          <w:bCs w:val="1"/>
          <w:color w:val="auto"/>
        </w:rPr>
        <w:t>Reinsurance</w:t>
      </w:r>
    </w:p>
    <w:p>
      <w:pPr>
        <w:spacing w:after="0" w:line="229" w:lineRule="exact"/>
        <w:rPr>
          <w:sz w:val="20"/>
          <w:szCs w:val="20"/>
          <w:color w:val="auto"/>
        </w:rPr>
      </w:pPr>
    </w:p>
    <w:p>
      <w:pPr>
        <w:jc w:val="both"/>
        <w:ind w:right="200" w:firstLine="441"/>
        <w:spacing w:after="0" w:line="263" w:lineRule="auto"/>
        <w:rPr>
          <w:sz w:val="20"/>
          <w:szCs w:val="20"/>
          <w:color w:val="auto"/>
        </w:rPr>
      </w:pPr>
      <w:r>
        <w:rPr>
          <w:rFonts w:ascii="Arial" w:cs="Arial" w:eastAsia="Arial" w:hAnsi="Arial"/>
          <w:sz w:val="18"/>
          <w:szCs w:val="18"/>
          <w:color w:val="auto"/>
        </w:rPr>
        <w:t>Atlantic States and Donegal Mutual have participated in a pooling agreement since 1986 under which they pool their direct premiums written,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84"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They require their reinsurers to maintain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2023:</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980" w:right="120" w:hanging="486"/>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excess of loss reinsurance, under which Donegal Mutual and our insurance subsidiaries recover losses over a set retention of $3.0 million for all losses other than workers’compensation and a retention of $2.0 million for workers’ compensation losses; and</w:t>
      </w:r>
    </w:p>
    <w:p>
      <w:pPr>
        <w:spacing w:after="0" w:line="146" w:lineRule="exact"/>
        <w:rPr>
          <w:rFonts w:ascii="Arial" w:cs="Arial" w:eastAsia="Arial" w:hAnsi="Arial"/>
          <w:sz w:val="17"/>
          <w:szCs w:val="17"/>
          <w:color w:val="auto"/>
        </w:rPr>
      </w:pPr>
    </w:p>
    <w:p>
      <w:pPr>
        <w:ind w:left="980" w:right="340" w:hanging="486"/>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catastrophe reinsurance, under which Donegal Mutual and our insurance subsidiaries recover 100% of an accumulation of many losses resulting from a single event, including natural disasters, over a set retention of $25.0 million up to aggregate losses of $175.0 million per occurrence.</w:t>
      </w:r>
    </w:p>
    <w:p>
      <w:pPr>
        <w:spacing w:after="0" w:line="184"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For property insurance, our insurance subsidiaries have excess of loss reinsurance that provides coverage of $37.0 million per loss over a set retention of $3.0 million. For liability insurance, our insurance subsidiaries have excess of loss reinsurance that provides coverage of $72.0 million per occurrence over a set retention of $3.0 million. For workers’ compensation insurance, our insurance subsidiaries have excess of loss reinsurance that provides coverage of $18.0 million on any one life over a set retention of $2.0 million.</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92"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Our insurance subsidiaries and Donegal Mutual also purchase facultative reinsurance to cover certain exposures, including property exposures that exceeded the limits provided by their respective treaty reinsurance.</w:t>
      </w:r>
    </w:p>
    <w:p>
      <w:pPr>
        <w:spacing w:after="0" w:line="170"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order to write automobile insurance in the state of Michigan, Atlantic States and MICO are required to be members of the Michigan Catastrophic Claims Association (“MCCA”). The MCCA provides reinsurance to Atlantic States and MICO for personal automobile and commercial automobile personal injury claims in the state of Michigan over a set retention.</w:t>
      </w:r>
    </w:p>
    <w:p>
      <w:pPr>
        <w:spacing w:after="0" w:line="184"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5 -</w:t>
      </w:r>
      <w:r>
        <w:rPr>
          <w:sz w:val="20"/>
          <w:szCs w:val="20"/>
          <w:color w:val="auto"/>
        </w:rPr>
        <w:tab/>
      </w:r>
      <w:r>
        <w:rPr>
          <w:rFonts w:ascii="Arial" w:cs="Arial" w:eastAsia="Arial" w:hAnsi="Arial"/>
          <w:sz w:val="15"/>
          <w:szCs w:val="15"/>
          <w:b w:val="1"/>
          <w:bCs w:val="1"/>
          <w:color w:val="auto"/>
        </w:rPr>
        <w:t>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amortized cost and estimated fair values of our fixed maturities at June 30,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Allowance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Estimated 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Carrying Value</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Credit 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9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Held to Maturity</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right"/>
              <w:ind w:right="65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U.S. Treasury securities and obligations of</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corporations and</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agencies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91,950</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92,005</w:t>
            </w:r>
          </w:p>
        </w:tc>
        <w:tc>
          <w:tcPr>
            <w:tcW w:w="4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subdivisions</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381,021</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10,562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685,402</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686,726</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85,400</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gridSpan w:val="3"/>
          </w:tcPr>
          <w:p>
            <w:pPr>
              <w:ind w:left="200"/>
              <w:spacing w:after="0"/>
              <w:rPr>
                <w:sz w:val="20"/>
                <w:szCs w:val="20"/>
                <w:color w:val="auto"/>
              </w:rPr>
            </w:pPr>
            <w:r>
              <w:rPr>
                <w:rFonts w:ascii="Arial" w:cs="Arial" w:eastAsia="Arial" w:hAnsi="Arial"/>
                <w:sz w:val="18"/>
                <w:szCs w:val="18"/>
                <w:b w:val="1"/>
                <w:bCs w:val="1"/>
                <w:color w:val="auto"/>
                <w:w w:val="87"/>
              </w:rPr>
              <w:t>Gross Unrealized</w:t>
            </w:r>
          </w:p>
        </w:tc>
        <w:tc>
          <w:tcPr>
            <w:tcW w:w="1540" w:type="dxa"/>
            <w:vAlign w:val="bottom"/>
            <w:gridSpan w:val="3"/>
          </w:tcPr>
          <w:p>
            <w:pPr>
              <w:ind w:left="220"/>
              <w:spacing w:after="0"/>
              <w:rPr>
                <w:sz w:val="20"/>
                <w:szCs w:val="20"/>
                <w:color w:val="auto"/>
              </w:rPr>
            </w:pPr>
            <w:r>
              <w:rPr>
                <w:rFonts w:ascii="Arial" w:cs="Arial" w:eastAsia="Arial" w:hAnsi="Arial"/>
                <w:sz w:val="18"/>
                <w:szCs w:val="18"/>
                <w:b w:val="1"/>
                <w:bCs w:val="1"/>
                <w:color w:val="auto"/>
                <w:w w:val="87"/>
              </w:rPr>
              <w:t>Gross Unrealized</w:t>
            </w:r>
          </w:p>
        </w:tc>
        <w:tc>
          <w:tcPr>
            <w:tcW w:w="1480" w:type="dxa"/>
            <w:vAlign w:val="bottom"/>
            <w:gridSpan w:val="4"/>
          </w:tcPr>
          <w:p>
            <w:pPr>
              <w:ind w:left="220"/>
              <w:spacing w:after="0"/>
              <w:rPr>
                <w:sz w:val="20"/>
                <w:szCs w:val="20"/>
                <w:color w:val="auto"/>
              </w:rPr>
            </w:pPr>
            <w:r>
              <w:rPr>
                <w:rFonts w:ascii="Arial" w:cs="Arial" w:eastAsia="Arial" w:hAnsi="Arial"/>
                <w:sz w:val="18"/>
                <w:szCs w:val="18"/>
                <w:b w:val="1"/>
                <w:bCs w:val="1"/>
                <w:color w:val="auto"/>
                <w:w w:val="99"/>
              </w:rPr>
              <w:t>Estimated Fair</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w w:val="90"/>
              </w:rPr>
              <w:t>Amortized Cost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20" w:type="dxa"/>
            <w:vAlign w:val="bottom"/>
            <w:gridSpan w:val="2"/>
          </w:tcPr>
          <w:p>
            <w:pPr>
              <w:spacing w:after="0"/>
              <w:rPr>
                <w:sz w:val="20"/>
                <w:szCs w:val="20"/>
                <w:color w:val="auto"/>
              </w:rPr>
            </w:pPr>
            <w:r>
              <w:rPr>
                <w:rFonts w:ascii="Arial" w:cs="Arial" w:eastAsia="Arial" w:hAnsi="Arial"/>
                <w:sz w:val="17"/>
                <w:szCs w:val="17"/>
                <w:color w:val="auto"/>
                <w:w w:val="71"/>
              </w:rPr>
              <w:t>thousands)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80,775</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75,410</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37,594</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192,991</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277,841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254,743</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613,421</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At June 30, 2023, our holdings of obligations of states and political subdivisions included general obligation bonds with an aggregate fair value of $243.4 million and an amortized cost of $281.7 million. Our holdings at June 30, 2023 also included special revenue bonds with an aggregate fair value of $123.5 million and an amortized cost of $141.9 million. With respect to both categories of those bonds at June 30, 2023, we held no securities of any issuer that comprised more than 10% of our holdings of either bond category. Education bonds and water and sewer utility bonds represented 48% and 36%, respectively, of our total investments in special revenue bonds based on the carrying values of these investments at June 30, 2023. Many of the issuers of the special revenue bonds we held at June 30, 2023 have the authority to impose ad valorem taxes. In that respect, many of the special revenue bonds we held are similar to general obligation bonds.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amortized cost and estimated fair values of our fixed maturities at December 31,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gridSpan w:val="3"/>
          </w:tcPr>
          <w:p>
            <w:pPr>
              <w:ind w:left="200"/>
              <w:spacing w:after="0"/>
              <w:rPr>
                <w:sz w:val="20"/>
                <w:szCs w:val="20"/>
                <w:color w:val="auto"/>
              </w:rPr>
            </w:pPr>
            <w:r>
              <w:rPr>
                <w:rFonts w:ascii="Arial" w:cs="Arial" w:eastAsia="Arial" w:hAnsi="Arial"/>
                <w:sz w:val="18"/>
                <w:szCs w:val="18"/>
                <w:b w:val="1"/>
                <w:bCs w:val="1"/>
                <w:color w:val="auto"/>
                <w:w w:val="87"/>
              </w:rPr>
              <w:t>Gross Unrealized</w:t>
            </w:r>
          </w:p>
        </w:tc>
        <w:tc>
          <w:tcPr>
            <w:tcW w:w="1540" w:type="dxa"/>
            <w:vAlign w:val="bottom"/>
            <w:gridSpan w:val="3"/>
          </w:tcPr>
          <w:p>
            <w:pPr>
              <w:ind w:left="220"/>
              <w:spacing w:after="0"/>
              <w:rPr>
                <w:sz w:val="20"/>
                <w:szCs w:val="20"/>
                <w:color w:val="auto"/>
              </w:rPr>
            </w:pPr>
            <w:r>
              <w:rPr>
                <w:rFonts w:ascii="Arial" w:cs="Arial" w:eastAsia="Arial" w:hAnsi="Arial"/>
                <w:sz w:val="18"/>
                <w:szCs w:val="18"/>
                <w:b w:val="1"/>
                <w:bCs w:val="1"/>
                <w:color w:val="auto"/>
                <w:w w:val="87"/>
              </w:rPr>
              <w:t>Gross Unrealized</w:t>
            </w:r>
          </w:p>
        </w:tc>
        <w:tc>
          <w:tcPr>
            <w:tcW w:w="1480" w:type="dxa"/>
            <w:vAlign w:val="bottom"/>
            <w:gridSpan w:val="4"/>
          </w:tcPr>
          <w:p>
            <w:pPr>
              <w:ind w:left="220"/>
              <w:spacing w:after="0"/>
              <w:rPr>
                <w:sz w:val="20"/>
                <w:szCs w:val="20"/>
                <w:color w:val="auto"/>
              </w:rPr>
            </w:pPr>
            <w:r>
              <w:rPr>
                <w:rFonts w:ascii="Arial" w:cs="Arial" w:eastAsia="Arial" w:hAnsi="Arial"/>
                <w:sz w:val="18"/>
                <w:szCs w:val="18"/>
                <w:b w:val="1"/>
                <w:bCs w:val="1"/>
                <w:color w:val="auto"/>
                <w:w w:val="99"/>
              </w:rPr>
              <w:t>Estimated Fair</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w w:val="90"/>
              </w:rPr>
              <w:t>Amortized Cost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Held to Maturity</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20" w:type="dxa"/>
            <w:vAlign w:val="bottom"/>
            <w:gridSpan w:val="2"/>
          </w:tcPr>
          <w:p>
            <w:pPr>
              <w:spacing w:after="0"/>
              <w:rPr>
                <w:sz w:val="20"/>
                <w:szCs w:val="20"/>
                <w:color w:val="auto"/>
              </w:rPr>
            </w:pPr>
            <w:r>
              <w:rPr>
                <w:rFonts w:ascii="Arial" w:cs="Arial" w:eastAsia="Arial" w:hAnsi="Arial"/>
                <w:sz w:val="17"/>
                <w:szCs w:val="17"/>
                <w:color w:val="auto"/>
                <w:w w:val="71"/>
              </w:rPr>
              <w:t>thousands)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103,362</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92,797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382,097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323,413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170,439</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12,031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688,439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gridSpan w:val="3"/>
          </w:tcPr>
          <w:p>
            <w:pPr>
              <w:ind w:left="200"/>
              <w:spacing w:after="0"/>
              <w:rPr>
                <w:sz w:val="20"/>
                <w:szCs w:val="20"/>
                <w:color w:val="auto"/>
              </w:rPr>
            </w:pPr>
            <w:r>
              <w:rPr>
                <w:rFonts w:ascii="Arial" w:cs="Arial" w:eastAsia="Arial" w:hAnsi="Arial"/>
                <w:sz w:val="18"/>
                <w:szCs w:val="18"/>
                <w:b w:val="1"/>
                <w:bCs w:val="1"/>
                <w:color w:val="auto"/>
                <w:w w:val="87"/>
              </w:rPr>
              <w:t>Gross Unrealized</w:t>
            </w:r>
          </w:p>
        </w:tc>
        <w:tc>
          <w:tcPr>
            <w:tcW w:w="1540" w:type="dxa"/>
            <w:vAlign w:val="bottom"/>
            <w:gridSpan w:val="3"/>
          </w:tcPr>
          <w:p>
            <w:pPr>
              <w:ind w:left="220"/>
              <w:spacing w:after="0"/>
              <w:rPr>
                <w:sz w:val="20"/>
                <w:szCs w:val="20"/>
                <w:color w:val="auto"/>
              </w:rPr>
            </w:pPr>
            <w:r>
              <w:rPr>
                <w:rFonts w:ascii="Arial" w:cs="Arial" w:eastAsia="Arial" w:hAnsi="Arial"/>
                <w:sz w:val="18"/>
                <w:szCs w:val="18"/>
                <w:b w:val="1"/>
                <w:bCs w:val="1"/>
                <w:color w:val="auto"/>
                <w:w w:val="87"/>
              </w:rPr>
              <w:t>Gross Unrealized</w:t>
            </w:r>
          </w:p>
        </w:tc>
        <w:tc>
          <w:tcPr>
            <w:tcW w:w="1480" w:type="dxa"/>
            <w:vAlign w:val="bottom"/>
            <w:gridSpan w:val="4"/>
          </w:tcPr>
          <w:p>
            <w:pPr>
              <w:ind w:left="220"/>
              <w:spacing w:after="0"/>
              <w:rPr>
                <w:sz w:val="20"/>
                <w:szCs w:val="20"/>
                <w:color w:val="auto"/>
              </w:rPr>
            </w:pPr>
            <w:r>
              <w:rPr>
                <w:rFonts w:ascii="Arial" w:cs="Arial" w:eastAsia="Arial" w:hAnsi="Arial"/>
                <w:sz w:val="18"/>
                <w:szCs w:val="18"/>
                <w:b w:val="1"/>
                <w:bCs w:val="1"/>
                <w:color w:val="auto"/>
                <w:w w:val="99"/>
              </w:rPr>
              <w:t>Estimated Fair</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w w:val="90"/>
              </w:rPr>
              <w:t>Amortized Cost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20" w:type="dxa"/>
            <w:vAlign w:val="bottom"/>
            <w:gridSpan w:val="2"/>
          </w:tcPr>
          <w:p>
            <w:pPr>
              <w:spacing w:after="0"/>
              <w:rPr>
                <w:sz w:val="20"/>
                <w:szCs w:val="20"/>
                <w:color w:val="auto"/>
              </w:rPr>
            </w:pPr>
            <w:r>
              <w:rPr>
                <w:rFonts w:ascii="Arial" w:cs="Arial" w:eastAsia="Arial" w:hAnsi="Arial"/>
                <w:sz w:val="17"/>
                <w:szCs w:val="17"/>
                <w:color w:val="auto"/>
                <w:w w:val="71"/>
              </w:rPr>
              <w:t>thousands)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68,538</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63,522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40,156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202,838</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239,886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217,276</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571,913</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At December 31, 2022, our holdings of obligations of states and political subdivisions included general obligation bonds with an aggregate fair value of $240.7 million and an amortized cost of $283.5 million. Our holdings also included special revenue bonds with an aggregate fair value of $122.9 million and an amortized cost of $144.0 million. With respect to both categories of bonds, we held no securities of any issuer that comprised more than 10% of that category at December 31, 2022. Education bonds and water and sewer utility bonds represented 48% and 35%, respectively, of our total investments in special revenue bonds based on their carrying values at December 31, 2022. Many of the issuers of the special revenue bonds we held at December 31, 2022 have the authority to impose ad valorem taxes. In that respect, many of the special revenue bonds we held are similar to general obligation bonds.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w:t>
      </w:r>
    </w:p>
    <w:p>
      <w:pPr>
        <w:spacing w:after="0" w:line="2" w:lineRule="exact"/>
        <w:rPr>
          <w:sz w:val="20"/>
          <w:szCs w:val="20"/>
          <w:color w:val="auto"/>
        </w:rPr>
      </w:pPr>
    </w:p>
    <w:p>
      <w:pPr>
        <w:ind w:right="240" w:firstLine="8"/>
        <w:spacing w:after="0" w:line="290" w:lineRule="auto"/>
        <w:tabs>
          <w:tab w:leader="none" w:pos="135" w:val="left"/>
        </w:tabs>
        <w:numPr>
          <w:ilvl w:val="0"/>
          <w:numId w:val="4"/>
        </w:numPr>
        <w:rPr>
          <w:rFonts w:ascii="Arial" w:cs="Arial" w:eastAsia="Arial" w:hAnsi="Arial"/>
          <w:sz w:val="17"/>
          <w:szCs w:val="17"/>
          <w:color w:val="auto"/>
        </w:rPr>
      </w:pPr>
      <w:r>
        <w:rPr>
          <w:rFonts w:ascii="Arial" w:cs="Arial" w:eastAsia="Arial" w:hAnsi="Arial"/>
          <w:sz w:val="17"/>
          <w:szCs w:val="17"/>
          <w:color w:val="auto"/>
        </w:rPr>
        <w:t>134,775 and $298,291 in other comprehensive loss during the six months ended June 30, 2023 and 2022, respectively. At June 30, 2023 and December 31, 2022, net unrealized losses of $4.5 million and $4.7 million, respectively, remained within accumulated other comprehensive loss.</w:t>
      </w:r>
    </w:p>
    <w:p>
      <w:pPr>
        <w:spacing w:after="0" w:line="161"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We show below the amortized cost and estimated fair value of our fixed maturities at June 30, 2023 by contractual maturity. Expected maturities may differ from contractual maturities because issuers of the securities may have the right to call or prepay obligations with or without call or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1"/>
              </w:rPr>
              <w:t>Estimated 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3"/>
          </w:tcPr>
          <w:p>
            <w:pPr>
              <w:ind w:left="160"/>
              <w:spacing w:after="0"/>
              <w:rPr>
                <w:sz w:val="20"/>
                <w:szCs w:val="20"/>
                <w:color w:val="auto"/>
              </w:rPr>
            </w:pPr>
            <w:r>
              <w:rPr>
                <w:rFonts w:ascii="Arial" w:cs="Arial" w:eastAsia="Arial" w:hAnsi="Arial"/>
                <w:sz w:val="18"/>
                <w:szCs w:val="18"/>
                <w:b w:val="1"/>
                <w:bCs w:val="1"/>
                <w:color w:val="auto"/>
                <w:w w:val="88"/>
              </w:rPr>
              <w:t>Amortized Cost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Held to maturity</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right"/>
              <w:ind w:right="71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4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22,678</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106,904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250,813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Due after ten years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295,762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7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Total held to maturity</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686,726</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602,826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Available for sale</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39,996</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175,377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Due after ten years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7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277,841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Total available for sale</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613,421</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560,738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7"/>
            <w:vMerge w:val="restart"/>
          </w:tcPr>
          <w:p>
            <w:pPr>
              <w:ind w:left="440"/>
              <w:spacing w:after="0"/>
              <w:rPr>
                <w:sz w:val="20"/>
                <w:szCs w:val="20"/>
                <w:color w:val="auto"/>
              </w:rPr>
            </w:pPr>
            <w:r>
              <w:rPr>
                <w:rFonts w:ascii="Arial" w:cs="Arial" w:eastAsia="Arial" w:hAnsi="Arial"/>
                <w:sz w:val="18"/>
                <w:szCs w:val="18"/>
                <w:color w:val="auto"/>
                <w:w w:val="92"/>
              </w:rPr>
              <w:t>The cost and estimated fair values of our equity securities at June 30, 2023 were as follows: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22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1"/>
              </w:rPr>
              <w:t>Estimated Fair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Gross Gains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7"/>
              </w:rPr>
              <w:t>Gross Losses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rPr>
              <w:t>(in</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71"/>
              </w:rPr>
              <w:t>thousands)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4"/>
              </w:rPr>
              <w:t>8,915</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11"/>
          </w:tcPr>
          <w:p>
            <w:pPr>
              <w:ind w:left="440"/>
              <w:spacing w:after="0"/>
              <w:rPr>
                <w:sz w:val="20"/>
                <w:szCs w:val="20"/>
                <w:color w:val="auto"/>
              </w:rPr>
            </w:pPr>
            <w:r>
              <w:rPr>
                <w:rFonts w:ascii="Arial" w:cs="Arial" w:eastAsia="Arial" w:hAnsi="Arial"/>
                <w:sz w:val="18"/>
                <w:szCs w:val="18"/>
                <w:color w:val="auto"/>
              </w:rPr>
              <w:t>The cost and estimated fair values of our equity securities at December 31, 2022 were as follows: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1"/>
              </w:rPr>
              <w:t>Estimated Fair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Gross Gains</w:t>
            </w:r>
          </w:p>
        </w:tc>
        <w:tc>
          <w:tcPr>
            <w:tcW w:w="2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7"/>
              </w:rPr>
              <w:t>Gross Losses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(in</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73"/>
              </w:rPr>
              <w:t>thousands)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30,771</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4"/>
              </w:rPr>
              <w:t>5,666</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4140" w:type="dxa"/>
            <w:vAlign w:val="bottom"/>
          </w:tcPr>
          <w:p>
            <w:pPr>
              <w:spacing w:after="0"/>
              <w:rPr>
                <w:sz w:val="24"/>
                <w:szCs w:val="24"/>
                <w:color w:val="auto"/>
              </w:rPr>
            </w:pPr>
          </w:p>
        </w:tc>
        <w:tc>
          <w:tcPr>
            <w:tcW w:w="1740" w:type="dxa"/>
            <w:vAlign w:val="bottom"/>
          </w:tcPr>
          <w:p>
            <w:pPr>
              <w:jc w:val="right"/>
              <w:ind w:right="96"/>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1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present below gross gains and losses from investments and the change in the difference between fair value and cost of investments: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Pr>
          <w:p>
            <w:pPr>
              <w:spacing w:after="0"/>
              <w:rPr>
                <w:sz w:val="20"/>
                <w:szCs w:val="20"/>
                <w:color w:val="auto"/>
              </w:rPr>
            </w:pPr>
          </w:p>
        </w:tc>
        <w:tc>
          <w:tcPr>
            <w:tcW w:w="24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vMerge w:val="restart"/>
          </w:tcPr>
          <w:p>
            <w:pPr>
              <w:spacing w:after="0"/>
              <w:rPr>
                <w:sz w:val="20"/>
                <w:szCs w:val="20"/>
                <w:color w:val="auto"/>
              </w:rPr>
            </w:pPr>
            <w:r>
              <w:rPr>
                <w:rFonts w:ascii="Arial" w:cs="Arial" w:eastAsia="Arial" w:hAnsi="Arial"/>
                <w:sz w:val="18"/>
                <w:szCs w:val="18"/>
                <w:color w:val="auto"/>
              </w:rPr>
              <w:t>Gross realized gains: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80" w:type="dxa"/>
            <w:vAlign w:val="bottom"/>
            <w:gridSpan w:val="4"/>
          </w:tcPr>
          <w:p>
            <w:pPr>
              <w:jc w:val="right"/>
              <w:ind w:right="650"/>
              <w:spacing w:after="0"/>
              <w:rPr>
                <w:sz w:val="20"/>
                <w:szCs w:val="20"/>
                <w:color w:val="auto"/>
              </w:rPr>
            </w:pPr>
            <w:r>
              <w:rPr>
                <w:rFonts w:ascii="Arial" w:cs="Arial" w:eastAsia="Arial" w:hAnsi="Arial"/>
                <w:sz w:val="17"/>
                <w:szCs w:val="17"/>
                <w:color w:val="auto"/>
                <w:w w:val="73"/>
              </w:rPr>
              <w:t>thousands)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right"/>
              <w:ind w:right="67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maturities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Fixed maturities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Gross unrealized gains on equity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losses on equity securities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23"/>
        </w:trPr>
        <w:tc>
          <w:tcPr>
            <w:tcW w:w="4560" w:type="dxa"/>
            <w:vAlign w:val="bottom"/>
          </w:tcPr>
          <w:p>
            <w:pPr>
              <w:ind w:left="60"/>
              <w:spacing w:after="0"/>
              <w:rPr>
                <w:sz w:val="20"/>
                <w:szCs w:val="20"/>
                <w:color w:val="auto"/>
              </w:rPr>
            </w:pPr>
            <w:r>
              <w:rPr>
                <w:rFonts w:ascii="Arial" w:cs="Arial" w:eastAsia="Arial" w:hAnsi="Arial"/>
                <w:sz w:val="18"/>
                <w:szCs w:val="18"/>
                <w:color w:val="auto"/>
              </w:rPr>
              <w:t>Fixed maturities - credit impairment charges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held fixed maturities with unrealized losses representing declines that we considered temporary at June 30, 2023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Less Than 12 Months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ind w:left="360"/>
              <w:spacing w:after="0"/>
              <w:rPr>
                <w:sz w:val="20"/>
                <w:szCs w:val="20"/>
                <w:color w:val="auto"/>
              </w:rPr>
            </w:pPr>
            <w:r>
              <w:rPr>
                <w:rFonts w:ascii="Arial" w:cs="Arial" w:eastAsia="Arial" w:hAnsi="Arial"/>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Fair Value</w:t>
            </w:r>
          </w:p>
        </w:tc>
        <w:tc>
          <w:tcPr>
            <w:tcW w:w="158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84"/>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(in</w:t>
            </w:r>
          </w:p>
        </w:tc>
        <w:tc>
          <w:tcPr>
            <w:tcW w:w="1320" w:type="dxa"/>
            <w:vAlign w:val="bottom"/>
            <w:gridSpan w:val="4"/>
          </w:tcPr>
          <w:p>
            <w:pPr>
              <w:jc w:val="right"/>
              <w:ind w:right="590"/>
              <w:spacing w:after="0"/>
              <w:rPr>
                <w:sz w:val="20"/>
                <w:szCs w:val="20"/>
                <w:color w:val="auto"/>
              </w:rPr>
            </w:pPr>
            <w:r>
              <w:rPr>
                <w:rFonts w:ascii="Arial" w:cs="Arial" w:eastAsia="Arial" w:hAnsi="Arial"/>
                <w:sz w:val="17"/>
                <w:szCs w:val="17"/>
                <w:color w:val="auto"/>
                <w:w w:val="73"/>
              </w:rPr>
              <w:t>thousands)</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U.S. Treasury securities and obligations of U.S. government corporations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agencies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54,372</w:t>
            </w:r>
          </w:p>
        </w:tc>
        <w:tc>
          <w:tcPr>
            <w:tcW w:w="112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102,559</w:t>
            </w:r>
          </w:p>
        </w:tc>
        <w:tc>
          <w:tcPr>
            <w:tcW w:w="5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45,123</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285,954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57,497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35,969</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88,841</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175,846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21,912</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262,672</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7,919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55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13</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held fixed maturities with unrealized losses representing declines that we considered temporary at December 31, 2022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Less Than 12 Months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ind w:left="360"/>
              <w:spacing w:after="0"/>
              <w:rPr>
                <w:sz w:val="20"/>
                <w:szCs w:val="20"/>
                <w:color w:val="auto"/>
              </w:rPr>
            </w:pPr>
            <w:r>
              <w:rPr>
                <w:rFonts w:ascii="Arial" w:cs="Arial" w:eastAsia="Arial" w:hAnsi="Arial"/>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20" w:type="dxa"/>
            <w:vAlign w:val="bottom"/>
            <w:gridSpan w:val="4"/>
          </w:tcPr>
          <w:p>
            <w:pPr>
              <w:jc w:val="right"/>
              <w:ind w:right="590"/>
              <w:spacing w:after="0"/>
              <w:rPr>
                <w:sz w:val="20"/>
                <w:szCs w:val="20"/>
                <w:color w:val="auto"/>
              </w:rPr>
            </w:pPr>
            <w:r>
              <w:rPr>
                <w:rFonts w:ascii="Arial" w:cs="Arial" w:eastAsia="Arial" w:hAnsi="Arial"/>
                <w:sz w:val="17"/>
                <w:szCs w:val="17"/>
                <w:color w:val="auto"/>
                <w:w w:val="73"/>
              </w:rPr>
              <w:t>thousands)</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90,245</w:t>
            </w:r>
          </w:p>
        </w:tc>
        <w:tc>
          <w:tcPr>
            <w:tcW w:w="108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5,327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47,238</w:t>
            </w:r>
          </w:p>
        </w:tc>
        <w:tc>
          <w:tcPr>
            <w:tcW w:w="60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261,465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6"/>
              <w:spacing w:after="0"/>
              <w:rPr>
                <w:sz w:val="20"/>
                <w:szCs w:val="20"/>
                <w:color w:val="auto"/>
              </w:rPr>
            </w:pPr>
            <w:r>
              <w:rPr>
                <w:rFonts w:ascii="Arial" w:cs="Arial" w:eastAsia="Arial" w:hAnsi="Arial"/>
                <w:sz w:val="18"/>
                <w:szCs w:val="18"/>
                <w:color w:val="auto"/>
                <w:w w:val="90"/>
              </w:rPr>
              <w:t>49,327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47,945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90"/>
              </w:rPr>
              <w:t>22,272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72,959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13,449</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143,886</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gridSpan w:val="2"/>
          </w:tcPr>
          <w:p>
            <w:pPr>
              <w:jc w:val="right"/>
              <w:ind w:right="16"/>
              <w:spacing w:after="0"/>
              <w:rPr>
                <w:sz w:val="20"/>
                <w:szCs w:val="20"/>
                <w:color w:val="auto"/>
              </w:rPr>
            </w:pPr>
            <w:r>
              <w:rPr>
                <w:rFonts w:ascii="Arial" w:cs="Arial" w:eastAsia="Arial" w:hAnsi="Arial"/>
                <w:sz w:val="18"/>
                <w:szCs w:val="18"/>
                <w:color w:val="auto"/>
                <w:w w:val="90"/>
              </w:rPr>
              <w:t>10,941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69,879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794,302</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87,867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914 debt securities that were in an unrealized loss position at June 30, 2023. Based upon our analysis of general market conditions and underlying factors impacting these debt securities, we considered these declines in value to be temporary.</w:t>
      </w:r>
    </w:p>
    <w:p>
      <w:pPr>
        <w:spacing w:after="0" w:line="18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amortize premiums and discounts on mortgage-backed debt securities using anticipated prepayments.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6 -</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We evaluate the performance of our personal lines and commercial lines segments based upon the underwriting results of our insurance subsidiaries using statutory accounting principles (“SAP”) that various state insurance departments prescribe or permit. Our management uses SAP to measure the performance of our insurance subsidiaries instead of United States generally accepted accounting principles (“GAAP”). SAP financial measures are considered non-GAAP financial measures under applicable SEC rules because they include or exclude certain items that the most comparable GAAP financial measures do not ordinarily include or exclude.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color w:val="0000EE"/>
        </w:rPr>
        <w:t>Index</w:t>
      </w:r>
    </w:p>
    <w:tbl>
      <w:tblPr>
        <w:tblLayout w:type="fixed"/>
        <w:tblInd w:w="0" w:type="dxa"/>
        <w:tblCellMar>
          <w:top w:w="0" w:type="dxa"/>
          <w:left w:w="0" w:type="dxa"/>
          <w:bottom w:w="0" w:type="dxa"/>
          <w:right w:w="0" w:type="dxa"/>
        </w:tblCellMar>
      </w:tblPr>
      <w:tr>
        <w:trPr>
          <w:trHeight w:val="250"/>
        </w:trPr>
        <w:tc>
          <w:tcPr>
            <w:tcW w:w="320" w:type="dxa"/>
            <w:vAlign w:val="bottom"/>
            <w:tcBorders>
              <w:top w:val="single" w:sz="8" w:color="0000EE"/>
            </w:tcBorders>
          </w:tcPr>
          <w:p>
            <w:pPr>
              <w:spacing w:after="0"/>
              <w:rPr>
                <w:sz w:val="21"/>
                <w:szCs w:val="21"/>
                <w:color w:val="auto"/>
              </w:rPr>
            </w:pPr>
          </w:p>
        </w:tc>
        <w:tc>
          <w:tcPr>
            <w:tcW w:w="8300" w:type="dxa"/>
            <w:vAlign w:val="bottom"/>
          </w:tcPr>
          <w:p>
            <w:pPr>
              <w:ind w:left="120"/>
              <w:spacing w:after="0"/>
              <w:rPr>
                <w:sz w:val="20"/>
                <w:szCs w:val="20"/>
                <w:color w:val="auto"/>
              </w:rPr>
            </w:pPr>
            <w:r>
              <w:rPr>
                <w:rFonts w:ascii="Arial" w:cs="Arial" w:eastAsia="Arial" w:hAnsi="Arial"/>
                <w:sz w:val="18"/>
                <w:szCs w:val="18"/>
                <w:color w:val="auto"/>
              </w:rPr>
              <w:t>Financial data by segment for the three and six months ended June 30, 2023 and 2022 is as follows:</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right"/>
              <w:ind w:right="67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Premiums earned: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lines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Personal lines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GAAP premiums earned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gains (losses)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229,196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2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 (benefit):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Underwriting loss: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Commercial lines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6"/>
              <w:spacing w:after="0"/>
              <w:rPr>
                <w:sz w:val="20"/>
                <w:szCs w:val="20"/>
                <w:color w:val="auto"/>
              </w:rPr>
            </w:pPr>
            <w:r>
              <w:rPr>
                <w:rFonts w:ascii="Arial" w:cs="Arial" w:eastAsia="Arial" w:hAnsi="Arial"/>
                <w:sz w:val="18"/>
                <w:szCs w:val="18"/>
                <w:color w:val="auto"/>
              </w:rPr>
              <w:t>(5,429)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Personal lines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(6,424)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SAP underwriting loss</w:t>
            </w:r>
          </w:p>
        </w:tc>
        <w:tc>
          <w:tcPr>
            <w:tcW w:w="100" w:type="dxa"/>
            <w:vAlign w:val="bottom"/>
          </w:tcPr>
          <w:p>
            <w:pPr>
              <w:spacing w:after="0"/>
              <w:rPr>
                <w:sz w:val="18"/>
                <w:szCs w:val="18"/>
                <w:color w:val="auto"/>
              </w:rPr>
            </w:pPr>
          </w:p>
        </w:tc>
        <w:tc>
          <w:tcPr>
            <w:tcW w:w="1260" w:type="dxa"/>
            <w:vAlign w:val="bottom"/>
            <w:gridSpan w:val="2"/>
          </w:tcPr>
          <w:p>
            <w:pPr>
              <w:jc w:val="right"/>
              <w:ind w:right="76"/>
              <w:spacing w:after="0"/>
              <w:rPr>
                <w:sz w:val="20"/>
                <w:szCs w:val="20"/>
                <w:color w:val="auto"/>
              </w:rPr>
            </w:pPr>
            <w:r>
              <w:rPr>
                <w:rFonts w:ascii="Arial" w:cs="Arial" w:eastAsia="Arial" w:hAnsi="Arial"/>
                <w:sz w:val="18"/>
                <w:szCs w:val="18"/>
                <w:color w:val="auto"/>
              </w:rPr>
              <w:t>(11,853)</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(13,018)</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adjustments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GAAP underwriting loss</w:t>
            </w:r>
          </w:p>
        </w:tc>
        <w:tc>
          <w:tcPr>
            <w:tcW w:w="100" w:type="dxa"/>
            <w:vAlign w:val="bottom"/>
          </w:tcPr>
          <w:p>
            <w:pPr>
              <w:spacing w:after="0"/>
              <w:rPr>
                <w:sz w:val="18"/>
                <w:szCs w:val="18"/>
                <w:color w:val="auto"/>
              </w:rPr>
            </w:pPr>
          </w:p>
        </w:tc>
        <w:tc>
          <w:tcPr>
            <w:tcW w:w="1260" w:type="dxa"/>
            <w:vAlign w:val="bottom"/>
            <w:gridSpan w:val="2"/>
          </w:tcPr>
          <w:p>
            <w:pPr>
              <w:jc w:val="right"/>
              <w:ind w:right="76"/>
              <w:spacing w:after="0"/>
              <w:rPr>
                <w:sz w:val="20"/>
                <w:szCs w:val="20"/>
                <w:color w:val="auto"/>
              </w:rPr>
            </w:pPr>
            <w:r>
              <w:rPr>
                <w:rFonts w:ascii="Arial" w:cs="Arial" w:eastAsia="Arial" w:hAnsi="Arial"/>
                <w:sz w:val="18"/>
                <w:szCs w:val="18"/>
                <w:color w:val="auto"/>
              </w:rPr>
              <w:t>(10,204)</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Investment gains (losses)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 (benefit)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ind w:left="5560"/>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8"/>
        </w:trPr>
        <w:tc>
          <w:tcPr>
            <w:tcW w:w="8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87"/>
              </w:rPr>
              <w:t>Index</w:t>
            </w:r>
          </w:p>
        </w:tc>
        <w:tc>
          <w:tcPr>
            <w:tcW w:w="5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600" w:type="dxa"/>
            <w:vAlign w:val="bottom"/>
            <w:gridSpan w:val="2"/>
            <w:vMerge w:val="continue"/>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Premiums earned:</w:t>
            </w: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lines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258,558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Personal lines</w:t>
            </w:r>
          </w:p>
        </w:tc>
        <w:tc>
          <w:tcPr>
            <w:tcW w:w="3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GAAP premiums earned</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6"/>
              <w:spacing w:after="0"/>
              <w:rPr>
                <w:sz w:val="20"/>
                <w:szCs w:val="20"/>
                <w:color w:val="auto"/>
              </w:rPr>
            </w:pPr>
            <w:r>
              <w:rPr>
                <w:rFonts w:ascii="Arial" w:cs="Arial" w:eastAsia="Arial" w:hAnsi="Arial"/>
                <w:sz w:val="18"/>
                <w:szCs w:val="18"/>
                <w:color w:val="auto"/>
              </w:rPr>
              <w:t>19,607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gains (losses)</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2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453,942</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411,938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Income before income tax expense:</w:t>
            </w:r>
          </w:p>
        </w:tc>
        <w:tc>
          <w:tcPr>
            <w:tcW w:w="30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Underwriting loss:</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Commercial lines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(13,353)</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Personal lines</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SAP underwriting loss</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(18,915)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GAAP adjustments</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GAAP underwriting loss</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19,607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Investment gains (losses)</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3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8,550</w:t>
            </w:r>
          </w:p>
        </w:tc>
        <w:tc>
          <w:tcPr>
            <w:tcW w:w="140" w:type="dxa"/>
            <w:vAlign w:val="bottom"/>
          </w:tcPr>
          <w:p>
            <w:pPr>
              <w:spacing w:after="0"/>
              <w:rPr>
                <w:sz w:val="18"/>
                <w:szCs w:val="18"/>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7 -</w:t>
            </w:r>
          </w:p>
        </w:tc>
        <w:tc>
          <w:tcPr>
            <w:tcW w:w="52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Borrowings</w:t>
            </w:r>
          </w:p>
        </w:tc>
        <w:tc>
          <w:tcPr>
            <w:tcW w:w="3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20" w:type="dxa"/>
            <w:vAlign w:val="bottom"/>
            <w:vMerge w:val="continue"/>
          </w:tcPr>
          <w:p>
            <w:pPr>
              <w:spacing w:after="0"/>
              <w:rPr>
                <w:sz w:val="24"/>
                <w:szCs w:val="24"/>
                <w:color w:val="auto"/>
              </w:rPr>
            </w:pPr>
          </w:p>
        </w:tc>
        <w:tc>
          <w:tcPr>
            <w:tcW w:w="52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Lines of Credit</w:t>
            </w: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441"/>
        <w:spacing w:after="0" w:line="311" w:lineRule="auto"/>
        <w:rPr>
          <w:sz w:val="20"/>
          <w:szCs w:val="20"/>
          <w:color w:val="auto"/>
        </w:rPr>
      </w:pPr>
      <w:r>
        <w:rPr>
          <w:rFonts w:ascii="Arial" w:cs="Arial" w:eastAsia="Arial" w:hAnsi="Arial"/>
          <w:sz w:val="16"/>
          <w:szCs w:val="16"/>
          <w:color w:val="auto"/>
        </w:rPr>
        <w:t>In August 2020, we entered into a credit agreement with Manufacturers and Traders Trust Company (“M&amp;T”) that related to a $20.0 million unsecured demand line of credit. The line of credit has no expiration date, no annual fees and no covenants. At June 30, 2023, we had no outstanding borrowings from M&amp;T and had the ability to borrow up to $20.0 million at an interest rate equal to the then-current Term SOFR rate plus 2.11%.</w:t>
      </w:r>
    </w:p>
    <w:p>
      <w:pPr>
        <w:spacing w:after="0" w:line="149"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June 30, 2023. The cash advance carries a fixed interest rate of 1.74% and is due in August 2024. The table below presents the amount of FHLB of Pittsburgh stock Atlantic States purchased, collateral pledged and assets related to Atlantic States’ membership in the FHLB of Pittsburgh at June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FHLB of Pittsburgh stock purchased and owned</w:t>
            </w:r>
          </w:p>
        </w:tc>
        <w:tc>
          <w:tcPr>
            <w:tcW w:w="52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1,591,800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Collateral pledged, at par (carrying value $44,815,721)</w:t>
            </w:r>
          </w:p>
        </w:tc>
        <w:tc>
          <w:tcPr>
            <w:tcW w:w="5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48,536,995</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 currently available</w:t>
            </w:r>
          </w:p>
        </w:tc>
        <w:tc>
          <w:tcPr>
            <w:tcW w:w="5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7,079,872</w:t>
            </w:r>
          </w:p>
        </w:tc>
      </w:tr>
      <w:tr>
        <w:trPr>
          <w:trHeight w:val="569"/>
        </w:trPr>
        <w:tc>
          <w:tcPr>
            <w:tcW w:w="4760" w:type="dxa"/>
            <w:vAlign w:val="bottom"/>
          </w:tcPr>
          <w:p>
            <w:pPr>
              <w:spacing w:after="0"/>
              <w:rPr>
                <w:sz w:val="24"/>
                <w:szCs w:val="24"/>
                <w:color w:val="auto"/>
              </w:rPr>
            </w:pPr>
          </w:p>
        </w:tc>
        <w:tc>
          <w:tcPr>
            <w:tcW w:w="5280" w:type="dxa"/>
            <w:vAlign w:val="bottom"/>
          </w:tcPr>
          <w:p>
            <w:pPr>
              <w:jc w:val="right"/>
              <w:ind w:right="4259"/>
              <w:spacing w:after="0"/>
              <w:rPr>
                <w:sz w:val="20"/>
                <w:szCs w:val="20"/>
                <w:color w:val="auto"/>
              </w:rPr>
            </w:pPr>
            <w:r>
              <w:rPr>
                <w:rFonts w:ascii="Arial" w:cs="Arial" w:eastAsia="Arial" w:hAnsi="Arial"/>
                <w:sz w:val="14"/>
                <w:szCs w:val="14"/>
                <w:color w:val="auto"/>
              </w:rPr>
              <w:t>16</w:t>
            </w:r>
          </w:p>
        </w:tc>
        <w:tc>
          <w:tcPr>
            <w:tcW w:w="1200" w:type="dxa"/>
            <w:vAlign w:val="bottom"/>
          </w:tcPr>
          <w:p>
            <w:pPr>
              <w:spacing w:after="0"/>
              <w:rPr>
                <w:sz w:val="24"/>
                <w:szCs w:val="24"/>
                <w:color w:val="auto"/>
              </w:rPr>
            </w:pPr>
          </w:p>
        </w:tc>
      </w:tr>
      <w:tr>
        <w:trPr>
          <w:trHeight w:val="46"/>
        </w:trPr>
        <w:tc>
          <w:tcPr>
            <w:tcW w:w="476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8 -</w:t>
      </w:r>
      <w:r>
        <w:rPr>
          <w:sz w:val="20"/>
          <w:szCs w:val="20"/>
          <w:color w:val="auto"/>
        </w:rPr>
        <w:tab/>
      </w:r>
      <w:r>
        <w:rPr>
          <w:rFonts w:ascii="Arial" w:cs="Arial" w:eastAsia="Arial" w:hAnsi="Arial"/>
          <w:sz w:val="15"/>
          <w:szCs w:val="15"/>
          <w:b w:val="1"/>
          <w:bCs w:val="1"/>
          <w:color w:val="auto"/>
        </w:rPr>
        <w:t>Share–Based Compensation</w:t>
      </w:r>
    </w:p>
    <w:p>
      <w:pPr>
        <w:spacing w:after="0" w:line="209"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measure all share-based payments to employees, including grants of stock options,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188"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We recorded compensation expense related to our stock compensation plans of $249,481 and $241,645 for the three months ended June 30, 2023 and 2022, respectively, with a corresponding income tax benefit of $52,391 and $50,745, respectively. We recorded compensation expense related to our stock compensation plans of $501,254 and $485,785 for the six months ended June 30, 2023 and 2022, respectively, with a corresponding income tax benefit of $105,263 and $102,015, respectively. At June 30, 2023, we had $1.2 million of unrecognized compensation expense related to nonvested share-based compensation granted under our stock compensation plans that we expect to recognize over a weighted average period of approximately 1.7 years.</w:t>
      </w:r>
    </w:p>
    <w:p>
      <w:pPr>
        <w:spacing w:after="0" w:line="161" w:lineRule="exact"/>
        <w:rPr>
          <w:sz w:val="20"/>
          <w:szCs w:val="20"/>
          <w:color w:val="auto"/>
        </w:rPr>
      </w:pPr>
    </w:p>
    <w:p>
      <w:pPr>
        <w:ind w:right="40" w:firstLine="441"/>
        <w:spacing w:after="0" w:line="275" w:lineRule="auto"/>
        <w:rPr>
          <w:sz w:val="20"/>
          <w:szCs w:val="20"/>
          <w:color w:val="auto"/>
        </w:rPr>
      </w:pPr>
      <w:r>
        <w:rPr>
          <w:rFonts w:ascii="Arial" w:cs="Arial" w:eastAsia="Arial" w:hAnsi="Arial"/>
          <w:sz w:val="17"/>
          <w:szCs w:val="17"/>
          <w:color w:val="auto"/>
        </w:rPr>
        <w:t>We received cash from option exercises under all stock compensation plans during the three months ended June 30, 2023 and 2022 of $ 2.7 million and $11.2 million, respectively. We received cash from option exercises under all stock compensation plans during the six months ended June 30, 2023 and 2022 of $4.7 million and $11.3 million, respectively. We realized actual tax benefits for the tax deductions related to those option exercises of $ 66,955 and $264,659 for the three months ended June 30, 2023 and 2022, respectively. We realized actual tax benefits for the tax deductions related to those option exercises of $113,143 and $264,812 for the six months ended June 30, 2023 and 2022, respectively.</w:t>
      </w:r>
    </w:p>
    <w:p>
      <w:pPr>
        <w:spacing w:after="0" w:line="17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9 -</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 directly or indirectly observable inputs other than Level 1 quoted prices;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 unobservable inputs not corroborated by market data.</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178"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June 30, 2023, we received two estimates per security from the pricing services, and we priced substantially all of our Level 1 and Level 2 investments using those prices. In our review of the estimates the pricing services provided at June 30, 2023, we did not identify any material discrepancies, and we did not make any adjustments to the estimates the pricing services provided.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present our cash and short-term investments at estimated fair value. We classify these items as Level 1.</w:t>
      </w:r>
    </w:p>
    <w:p>
      <w:pPr>
        <w:spacing w:after="0" w:line="225"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The carrying values we report in our balance sheet for premium receivables, reinsurance receivables related to paid losses and loss expenses and reinsurance balances payable approximate their fair values. The carrying amounts we report in our balance sheets for our borrowings under lines of credit approximate their fair values. We classify these items as Level 3.</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evaluate our assets and liabilities to determine the appropriate level at which to classify them for each reporting period.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fair value measurements for our investments in available-for-sale fixed maturity and equity securities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Fair Value Measurements Using</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7"/>
                <w:szCs w:val="17"/>
                <w:color w:val="auto"/>
              </w:rPr>
            </w:pPr>
          </w:p>
        </w:tc>
        <w:tc>
          <w:tcPr>
            <w:tcW w:w="11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4"/>
              </w:rPr>
              <w:t>Active Markets</w:t>
            </w: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Significant</w:t>
            </w: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Unobservable</w:t>
            </w:r>
          </w:p>
        </w:tc>
        <w:tc>
          <w:tcPr>
            <w:tcW w:w="10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Assets (Level 1)</w:t>
            </w:r>
          </w:p>
        </w:tc>
        <w:tc>
          <w:tcPr>
            <w:tcW w:w="2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Inputs (Level 2)</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Inputs (Level 3)</w:t>
            </w:r>
          </w:p>
        </w:tc>
        <w:tc>
          <w:tcPr>
            <w:tcW w:w="10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440" w:type="dxa"/>
            <w:vAlign w:val="bottom"/>
            <w:gridSpan w:val="3"/>
          </w:tcPr>
          <w:p>
            <w:pPr>
              <w:jc w:val="right"/>
              <w:ind w:right="690"/>
              <w:spacing w:after="0"/>
              <w:rPr>
                <w:sz w:val="20"/>
                <w:szCs w:val="20"/>
                <w:color w:val="auto"/>
              </w:rPr>
            </w:pPr>
            <w:r>
              <w:rPr>
                <w:rFonts w:ascii="Arial" w:cs="Arial" w:eastAsia="Arial" w:hAnsi="Arial"/>
                <w:sz w:val="18"/>
                <w:szCs w:val="18"/>
                <w:color w:val="auto"/>
                <w:w w:val="71"/>
              </w:rPr>
              <w:t>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254,743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254,743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Total investments in the fair value hierarchy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599,357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36,627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562,730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following table presents our fair value measurements for our investments in available-for-sale fixed maturity and equity securities at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Fair Value Measurements Using</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7"/>
                <w:szCs w:val="17"/>
                <w:color w:val="auto"/>
              </w:rPr>
            </w:pPr>
          </w:p>
        </w:tc>
        <w:tc>
          <w:tcPr>
            <w:tcW w:w="11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4"/>
              </w:rPr>
              <w:t>Active Markets</w:t>
            </w: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Significant</w:t>
            </w:r>
          </w:p>
        </w:tc>
        <w:tc>
          <w:tcPr>
            <w:tcW w:w="100" w:type="dxa"/>
            <w:vAlign w:val="bottom"/>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Unobservable</w:t>
            </w:r>
          </w:p>
        </w:tc>
        <w:tc>
          <w:tcPr>
            <w:tcW w:w="100" w:type="dxa"/>
            <w:vAlign w:val="bottom"/>
          </w:tcPr>
          <w:p>
            <w:pPr>
              <w:spacing w:after="0"/>
              <w:rPr>
                <w:sz w:val="18"/>
                <w:szCs w:val="18"/>
                <w:color w:val="auto"/>
              </w:rPr>
            </w:pPr>
          </w:p>
        </w:tc>
      </w:tr>
      <w:tr>
        <w:trPr>
          <w:trHeight w:val="234"/>
        </w:trPr>
        <w:tc>
          <w:tcPr>
            <w:tcW w:w="5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Assets (Level 1)</w:t>
            </w:r>
          </w:p>
        </w:tc>
        <w:tc>
          <w:tcPr>
            <w:tcW w:w="2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Inputs (Level 2)</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Inputs (Level 3)</w:t>
            </w:r>
          </w:p>
        </w:tc>
        <w:tc>
          <w:tcPr>
            <w:tcW w:w="10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440" w:type="dxa"/>
            <w:vAlign w:val="bottom"/>
            <w:gridSpan w:val="3"/>
          </w:tcPr>
          <w:p>
            <w:pPr>
              <w:jc w:val="right"/>
              <w:ind w:right="690"/>
              <w:spacing w:after="0"/>
              <w:rPr>
                <w:sz w:val="20"/>
                <w:szCs w:val="20"/>
                <w:color w:val="auto"/>
              </w:rPr>
            </w:pPr>
            <w:r>
              <w:rPr>
                <w:rFonts w:ascii="Arial" w:cs="Arial" w:eastAsia="Arial" w:hAnsi="Arial"/>
                <w:sz w:val="18"/>
                <w:szCs w:val="18"/>
                <w:color w:val="auto"/>
                <w:w w:val="71"/>
              </w:rPr>
              <w:t>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U.S. Treasury securities and obligations of U.S. government corporations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agencies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40,156</w:t>
            </w:r>
          </w:p>
        </w:tc>
        <w:tc>
          <w:tcPr>
            <w:tcW w:w="12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202,838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217,276</w:t>
            </w:r>
          </w:p>
        </w:tc>
        <w:tc>
          <w:tcPr>
            <w:tcW w:w="12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217,276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35,105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32,821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7"/>
        </w:trPr>
        <w:tc>
          <w:tcPr>
            <w:tcW w:w="5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Totals</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558,897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32,821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526,076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54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10 -</w:t>
      </w:r>
      <w:r>
        <w:rPr>
          <w:sz w:val="20"/>
          <w:szCs w:val="20"/>
          <w:color w:val="auto"/>
        </w:rPr>
        <w:tab/>
      </w:r>
      <w:r>
        <w:rPr>
          <w:rFonts w:ascii="Arial" w:cs="Arial" w:eastAsia="Arial" w:hAnsi="Arial"/>
          <w:sz w:val="15"/>
          <w:szCs w:val="15"/>
          <w:b w:val="1"/>
          <w:bCs w:val="1"/>
          <w:color w:val="auto"/>
        </w:rPr>
        <w:t>Income Taxes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June 30, 2023 and December 31, 2022, respectively, we had no material unrecognized tax benefits or accrued interest and penalties. Tax years</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2016 through 2022 remained open for examination at June 30, 2023. We provide a valuation allowance when we believe it is more likely than not that we will not realize some portion of our tax assets. We established a valuation allowance of $8.1 million for our net state operating loss carryforward. We have determined that we are not required to establish a valuation allowance for our other deferred tax assets of $42.1 million and $39.8 million at June 30, 2023 and December 31, 2022, respectively, because it is more likely than not that we will realize these deferred tax assets through reversals of existing temporary differences, future taxable income and the implementation of tax planning strategies.</w:t>
      </w:r>
    </w:p>
    <w:p>
      <w:pPr>
        <w:spacing w:after="0" w:line="17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11 -</w:t>
      </w:r>
      <w:r>
        <w:rPr>
          <w:sz w:val="20"/>
          <w:szCs w:val="20"/>
          <w:color w:val="auto"/>
        </w:rPr>
        <w:tab/>
      </w:r>
      <w:r>
        <w:rPr>
          <w:rFonts w:ascii="Arial" w:cs="Arial" w:eastAsia="Arial" w:hAnsi="Arial"/>
          <w:sz w:val="15"/>
          <w:szCs w:val="15"/>
          <w:b w:val="1"/>
          <w:bCs w:val="1"/>
          <w:color w:val="auto"/>
        </w:rPr>
        <w:t>Liabilities for Losses and Loss Expenses</w:t>
      </w:r>
    </w:p>
    <w:p>
      <w:pPr>
        <w:spacing w:after="0" w:line="229"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establishment of appropriate liabilities for losses and loss expenses is an inherently uncertain process, and we can provide no assurance that our insurance subsidiaries’ ultimate liabilities for losses and loss expenses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 of their liabilities for losses and loss expenses generally reflect actual payments and their evaluation of information received subsequent to the prior reporting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ind w:left="440"/>
              <w:spacing w:after="0"/>
              <w:rPr>
                <w:sz w:val="20"/>
                <w:szCs w:val="20"/>
                <w:color w:val="auto"/>
              </w:rPr>
            </w:pPr>
            <w:r>
              <w:rPr>
                <w:rFonts w:ascii="Arial" w:cs="Arial" w:eastAsia="Arial" w:hAnsi="Arial"/>
                <w:sz w:val="18"/>
                <w:szCs w:val="18"/>
                <w:color w:val="auto"/>
                <w:w w:val="95"/>
              </w:rPr>
              <w:t>We summarize activity in our insurance subsidiaries’ liabilities for losses and loss expenses as follows: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8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1,077,620</w:t>
            </w: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Less reinsurance recoverable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8"/>
                <w:szCs w:val="18"/>
                <w:color w:val="auto"/>
              </w:rPr>
              <w:t>(451,184)</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(451,261)</w:t>
            </w:r>
          </w:p>
        </w:tc>
      </w:tr>
      <w:tr>
        <w:trPr>
          <w:trHeight w:val="223"/>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updated accounting guidance for credit losses at January 1</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balance at January 1</w:t>
            </w: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670,994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626,359</w:t>
            </w:r>
          </w:p>
        </w:tc>
        <w:tc>
          <w:tcPr>
            <w:tcW w:w="100" w:type="dxa"/>
            <w:vAlign w:val="bottom"/>
            <w:tcBorders>
              <w:top w:val="single" w:sz="8" w:color="CCEEFF"/>
            </w:tcBorders>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297,801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283,906</w:t>
            </w:r>
          </w:p>
        </w:tc>
        <w:tc>
          <w:tcPr>
            <w:tcW w:w="100" w:type="dxa"/>
            <w:vAlign w:val="bottom"/>
          </w:tcPr>
          <w:p>
            <w:pPr>
              <w:spacing w:after="0"/>
              <w:rPr>
                <w:sz w:val="18"/>
                <w:szCs w:val="18"/>
                <w:color w:val="auto"/>
              </w:rPr>
            </w:pPr>
          </w:p>
        </w:tc>
      </w:tr>
      <w:tr>
        <w:trPr>
          <w:trHeight w:val="223"/>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(8,460)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(24,415)</w:t>
            </w:r>
          </w:p>
        </w:tc>
      </w:tr>
      <w:tr>
        <w:trPr>
          <w:trHeight w:val="223"/>
        </w:trPr>
        <w:tc>
          <w:tcPr>
            <w:tcW w:w="8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incurred</w:t>
            </w:r>
          </w:p>
        </w:tc>
        <w:tc>
          <w:tcPr>
            <w:tcW w:w="4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289,341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259,491</w:t>
            </w:r>
          </w:p>
        </w:tc>
        <w:tc>
          <w:tcPr>
            <w:tcW w:w="100" w:type="dxa"/>
            <w:vAlign w:val="bottom"/>
            <w:tcBorders>
              <w:top w:val="single" w:sz="8" w:color="CCEEFF"/>
            </w:tcBorders>
          </w:tcPr>
          <w:p>
            <w:pPr>
              <w:spacing w:after="0"/>
              <w:rPr>
                <w:sz w:val="19"/>
                <w:szCs w:val="19"/>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129,999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112,253</w:t>
            </w:r>
          </w:p>
        </w:tc>
        <w:tc>
          <w:tcPr>
            <w:tcW w:w="100" w:type="dxa"/>
            <w:vAlign w:val="bottom"/>
          </w:tcPr>
          <w:p>
            <w:pPr>
              <w:spacing w:after="0"/>
              <w:rPr>
                <w:sz w:val="18"/>
                <w:szCs w:val="18"/>
                <w:color w:val="auto"/>
              </w:rPr>
            </w:pPr>
          </w:p>
        </w:tc>
      </w:tr>
      <w:tr>
        <w:trPr>
          <w:trHeight w:val="223"/>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4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152,890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Total paid</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282,889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242,694</w:t>
            </w:r>
          </w:p>
        </w:tc>
        <w:tc>
          <w:tcPr>
            <w:tcW w:w="100" w:type="dxa"/>
            <w:vAlign w:val="bottom"/>
          </w:tcPr>
          <w:p>
            <w:pPr>
              <w:spacing w:after="0"/>
              <w:rPr>
                <w:sz w:val="19"/>
                <w:szCs w:val="19"/>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643,156</w:t>
            </w:r>
          </w:p>
        </w:tc>
        <w:tc>
          <w:tcPr>
            <w:tcW w:w="100" w:type="dxa"/>
            <w:vAlign w:val="bottom"/>
            <w:shd w:val="clear" w:color="auto" w:fill="CCEEFF"/>
          </w:tcPr>
          <w:p>
            <w:pPr>
              <w:spacing w:after="0"/>
              <w:rPr>
                <w:sz w:val="18"/>
                <w:szCs w:val="18"/>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Plus reinsurance recoverable</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445,237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440,198</w:t>
            </w:r>
          </w:p>
        </w:tc>
        <w:tc>
          <w:tcPr>
            <w:tcW w:w="100" w:type="dxa"/>
            <w:vAlign w:val="bottom"/>
          </w:tcPr>
          <w:p>
            <w:pPr>
              <w:spacing w:after="0"/>
              <w:rPr>
                <w:sz w:val="19"/>
                <w:szCs w:val="19"/>
                <w:color w:val="auto"/>
              </w:rPr>
            </w:pPr>
          </w:p>
        </w:tc>
      </w:tr>
      <w:tr>
        <w:trPr>
          <w:trHeight w:val="256"/>
        </w:trPr>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1,122,683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1,083,354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49"/>
        </w:trPr>
        <w:tc>
          <w:tcPr>
            <w:tcW w:w="8260" w:type="dxa"/>
            <w:vAlign w:val="bottom"/>
          </w:tcPr>
          <w:p>
            <w:pPr>
              <w:ind w:left="5560"/>
              <w:spacing w:after="0"/>
              <w:rPr>
                <w:sz w:val="20"/>
                <w:szCs w:val="20"/>
                <w:color w:val="auto"/>
              </w:rPr>
            </w:pPr>
            <w:r>
              <w:rPr>
                <w:rFonts w:ascii="Arial" w:cs="Arial" w:eastAsia="Arial" w:hAnsi="Arial"/>
                <w:sz w:val="14"/>
                <w:szCs w:val="14"/>
                <w:color w:val="auto"/>
              </w:rPr>
              <w:t>19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8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80" w:firstLine="441"/>
        <w:spacing w:after="0" w:line="253" w:lineRule="auto"/>
        <w:rPr>
          <w:sz w:val="20"/>
          <w:szCs w:val="20"/>
          <w:color w:val="auto"/>
        </w:rPr>
      </w:pPr>
      <w:r>
        <w:rPr>
          <w:rFonts w:ascii="Arial" w:cs="Arial" w:eastAsia="Arial" w:hAnsi="Arial"/>
          <w:sz w:val="18"/>
          <w:szCs w:val="18"/>
          <w:color w:val="auto"/>
        </w:rPr>
        <w:t>Our insurance subsidiaries recognized a decrease in their liabilities for losses and loss expenses of prior years of $8.5 million and $24.4 million for the six months ended June 30, 2023 and 2022,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2023 development represented 1.3% of the December 31, 2022 net carried reserves and resulted from lower-than-expected loss emergence or severity primarily in the commercial automobile, workers’compensation and homeowners lines of business. The majority of the 2023 development related to decreases in the liabilities for losses and loss expenses of prior years for Atlantic States and MICO. The 2022 development represented 3.9% of the December 31, 2021 net carried reserves and resulted primarily from lower-than-expected loss emergence or severity in nearly all lines of business. The majority of the 2022 development related to decreases in the liabilities for losses and loss expenses of prior years for Atlantic States and MICO.</w:t>
      </w:r>
    </w:p>
    <w:p>
      <w:pPr>
        <w:spacing w:after="0" w:line="196"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8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six months ended June 30, 2023.</w:t>
      </w:r>
    </w:p>
    <w:p>
      <w:pPr>
        <w:spacing w:after="0" w:line="192" w:lineRule="exact"/>
        <w:rPr>
          <w:sz w:val="20"/>
          <w:szCs w:val="20"/>
          <w:color w:val="auto"/>
        </w:rPr>
      </w:pPr>
    </w:p>
    <w:p>
      <w:pPr>
        <w:ind w:right="40" w:firstLine="441"/>
        <w:spacing w:after="0" w:line="275" w:lineRule="auto"/>
        <w:rPr>
          <w:sz w:val="20"/>
          <w:szCs w:val="20"/>
          <w:color w:val="auto"/>
        </w:rPr>
      </w:pPr>
      <w:r>
        <w:rPr>
          <w:rFonts w:ascii="Arial" w:cs="Arial" w:eastAsia="Arial" w:hAnsi="Arial"/>
          <w:sz w:val="17"/>
          <w:szCs w:val="17"/>
          <w:color w:val="auto"/>
        </w:rPr>
        <w:t>The actuaries for our insurance subsidiaries generally prepare an initial estimate for ultimate losses and loss expenses for the current accident year by multiplying earned premium by an ‘‘</w:t>
      </w:r>
      <w:r>
        <w:rPr>
          <w:rFonts w:ascii="Arial" w:cs="Arial" w:eastAsia="Arial" w:hAnsi="Arial"/>
          <w:sz w:val="17"/>
          <w:szCs w:val="17"/>
          <w:i w:val="1"/>
          <w:iCs w:val="1"/>
          <w:color w:val="auto"/>
        </w:rPr>
        <w:t>a priori</w:t>
      </w:r>
      <w:r>
        <w:rPr>
          <w:rFonts w:ascii="Arial" w:cs="Arial" w:eastAsia="Arial" w:hAnsi="Arial"/>
          <w:sz w:val="17"/>
          <w:szCs w:val="17"/>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176"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6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92"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12 -</w:t>
      </w:r>
      <w:r>
        <w:rPr>
          <w:sz w:val="20"/>
          <w:szCs w:val="20"/>
          <w:color w:val="auto"/>
        </w:rPr>
        <w:tab/>
      </w:r>
      <w:r>
        <w:rPr>
          <w:rFonts w:ascii="Arial" w:cs="Arial" w:eastAsia="Arial" w:hAnsi="Arial"/>
          <w:sz w:val="15"/>
          <w:szCs w:val="15"/>
          <w:b w:val="1"/>
          <w:bCs w:val="1"/>
          <w:color w:val="auto"/>
        </w:rPr>
        <w:t>Allowance for Expected Credit Losses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Held-to-Maturity Fixed-Maturity Securities</w:t>
      </w:r>
    </w:p>
    <w:p>
      <w:pPr>
        <w:spacing w:after="0" w:line="229"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The following table presents the balances for fixed maturities classified as held-to-maturity, net of the allowance for expected credit losses, at June 30, 2023 and 2022 and changes in the allowance for expected credit losses for the three and six months ended June 30,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9"/>
          </w:tcPr>
          <w:p>
            <w:pPr>
              <w:jc w:val="right"/>
              <w:ind w:right="310"/>
              <w:spacing w:after="0"/>
              <w:rPr>
                <w:sz w:val="20"/>
                <w:szCs w:val="20"/>
                <w:color w:val="auto"/>
              </w:rPr>
            </w:pPr>
            <w:r>
              <w:rPr>
                <w:rFonts w:ascii="Arial" w:cs="Arial" w:eastAsia="Arial" w:hAnsi="Arial"/>
                <w:sz w:val="18"/>
                <w:szCs w:val="18"/>
                <w:b w:val="1"/>
                <w:bCs w:val="1"/>
                <w:color w:val="auto"/>
                <w:w w:val="93"/>
              </w:rPr>
              <w:t>At and For the Three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2"/>
              </w:rPr>
              <w:t>At and For the Three Months</w:t>
            </w:r>
          </w:p>
        </w:tc>
        <w:tc>
          <w:tcPr>
            <w:tcW w:w="100" w:type="dxa"/>
            <w:vAlign w:val="bottom"/>
          </w:tcPr>
          <w:p>
            <w:pPr>
              <w:spacing w:after="0"/>
              <w:rPr>
                <w:sz w:val="18"/>
                <w:szCs w:val="18"/>
                <w:color w:val="auto"/>
              </w:rPr>
            </w:pPr>
          </w:p>
        </w:tc>
      </w:tr>
      <w:tr>
        <w:trPr>
          <w:trHeight w:val="241"/>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8"/>
          </w:tcPr>
          <w:p>
            <w:pPr>
              <w:ind w:left="260"/>
              <w:spacing w:after="0"/>
              <w:rPr>
                <w:sz w:val="20"/>
                <w:szCs w:val="20"/>
                <w:color w:val="auto"/>
              </w:rPr>
            </w:pPr>
            <w:r>
              <w:rPr>
                <w:rFonts w:ascii="Arial" w:cs="Arial" w:eastAsia="Arial" w:hAnsi="Arial"/>
                <w:sz w:val="18"/>
                <w:szCs w:val="18"/>
                <w:b w:val="1"/>
                <w:bCs w:val="1"/>
                <w:color w:val="auto"/>
              </w:rPr>
              <w:t>Ended June 30, 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Ended June 30, 2022</w:t>
            </w:r>
          </w:p>
        </w:tc>
        <w:tc>
          <w:tcPr>
            <w:tcW w:w="100" w:type="dxa"/>
            <w:vAlign w:val="bottom"/>
          </w:tcPr>
          <w:p>
            <w:pPr>
              <w:spacing w:after="0"/>
              <w:rPr>
                <w:sz w:val="20"/>
                <w:szCs w:val="20"/>
                <w:color w:val="auto"/>
              </w:rPr>
            </w:pPr>
          </w:p>
        </w:tc>
      </w:tr>
      <w:tr>
        <w:trPr>
          <w:trHeight w:val="198"/>
        </w:trPr>
        <w:tc>
          <w:tcPr>
            <w:tcW w:w="5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Held-to-</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Held-to-</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tcPr>
          <w:p>
            <w:pPr>
              <w:spacing w:after="0"/>
              <w:rPr>
                <w:sz w:val="18"/>
                <w:szCs w:val="18"/>
                <w:color w:val="auto"/>
              </w:rPr>
            </w:pPr>
          </w:p>
        </w:tc>
        <w:tc>
          <w:tcPr>
            <w:tcW w:w="1280" w:type="dxa"/>
            <w:vAlign w:val="bottom"/>
            <w:gridSpan w:val="5"/>
          </w:tcPr>
          <w:p>
            <w:pPr>
              <w:ind w:left="100"/>
              <w:spacing w:after="0"/>
              <w:rPr>
                <w:sz w:val="20"/>
                <w:szCs w:val="20"/>
                <w:color w:val="auto"/>
              </w:rPr>
            </w:pPr>
            <w:r>
              <w:rPr>
                <w:rFonts w:ascii="Arial" w:cs="Arial" w:eastAsia="Arial" w:hAnsi="Arial"/>
                <w:sz w:val="18"/>
                <w:szCs w:val="18"/>
                <w:b w:val="1"/>
                <w:bCs w:val="1"/>
                <w:color w:val="auto"/>
              </w:rPr>
              <w:t>Maturity,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89"/>
              </w:rPr>
              <w:t>Allowance</w:t>
            </w:r>
          </w:p>
        </w:tc>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Maturity,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of Allowance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for Expected</w:t>
            </w:r>
          </w:p>
        </w:tc>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of Allowance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for Expected</w:t>
            </w: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for Expected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6"/>
              </w:rPr>
              <w:t>Credit</w:t>
            </w:r>
          </w:p>
        </w:tc>
        <w:tc>
          <w:tcPr>
            <w:tcW w:w="2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for Expected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Credit</w:t>
            </w:r>
          </w:p>
        </w:tc>
        <w:tc>
          <w:tcPr>
            <w:tcW w:w="100" w:type="dxa"/>
            <w:vAlign w:val="bottom"/>
          </w:tcPr>
          <w:p>
            <w:pPr>
              <w:spacing w:after="0"/>
              <w:rPr>
                <w:sz w:val="18"/>
                <w:szCs w:val="18"/>
                <w:color w:val="auto"/>
              </w:rPr>
            </w:pPr>
          </w:p>
        </w:tc>
      </w:tr>
      <w:tr>
        <w:trPr>
          <w:trHeight w:val="241"/>
        </w:trPr>
        <w:tc>
          <w:tcPr>
            <w:tcW w:w="5740" w:type="dxa"/>
            <w:vAlign w:val="bottom"/>
          </w:tcPr>
          <w:p>
            <w:pPr>
              <w:spacing w:after="0"/>
              <w:rPr>
                <w:sz w:val="20"/>
                <w:szCs w:val="20"/>
                <w:color w:val="auto"/>
              </w:rPr>
            </w:pPr>
          </w:p>
        </w:tc>
        <w:tc>
          <w:tcPr>
            <w:tcW w:w="12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4"/>
              </w:rPr>
              <w:t>Credit Losses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ind w:left="56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693,779</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690,691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r>
      <w:tr>
        <w:trPr>
          <w:trHeight w:val="217"/>
        </w:trPr>
        <w:tc>
          <w:tcPr>
            <w:tcW w:w="5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Current period change for expected credit losses</w:t>
            </w: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3"/>
          </w:tcPr>
          <w:p>
            <w:pPr>
              <w:jc w:val="right"/>
              <w:ind w:right="70"/>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8"/>
                <w:szCs w:val="18"/>
                <w:color w:val="auto"/>
              </w:rPr>
            </w:pPr>
          </w:p>
        </w:tc>
      </w:tr>
      <w:tr>
        <w:trPr>
          <w:trHeight w:val="25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6"/>
              </w:rPr>
              <w:t>685,402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700,335</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8"/>
          </w:tcPr>
          <w:p>
            <w:pPr>
              <w:jc w:val="center"/>
              <w:ind w:right="230"/>
              <w:spacing w:after="0"/>
              <w:rPr>
                <w:sz w:val="20"/>
                <w:szCs w:val="20"/>
                <w:color w:val="auto"/>
              </w:rPr>
            </w:pPr>
            <w:r>
              <w:rPr>
                <w:rFonts w:ascii="Arial" w:cs="Arial" w:eastAsia="Arial" w:hAnsi="Arial"/>
                <w:sz w:val="18"/>
                <w:szCs w:val="18"/>
                <w:b w:val="1"/>
                <w:bCs w:val="1"/>
                <w:color w:val="auto"/>
                <w:w w:val="92"/>
              </w:rPr>
              <w:t>At and For the Six Months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1"/>
              </w:rPr>
              <w:t>At and For the Six Months</w:t>
            </w:r>
          </w:p>
        </w:tc>
        <w:tc>
          <w:tcPr>
            <w:tcW w:w="100" w:type="dxa"/>
            <w:vAlign w:val="bottom"/>
          </w:tcPr>
          <w:p>
            <w:pPr>
              <w:spacing w:after="0"/>
              <w:rPr>
                <w:sz w:val="24"/>
                <w:szCs w:val="24"/>
                <w:color w:val="auto"/>
              </w:rPr>
            </w:pPr>
          </w:p>
        </w:tc>
      </w:tr>
      <w:tr>
        <w:trPr>
          <w:trHeight w:val="241"/>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8"/>
          </w:tcPr>
          <w:p>
            <w:pPr>
              <w:jc w:val="center"/>
              <w:ind w:right="230"/>
              <w:spacing w:after="0"/>
              <w:rPr>
                <w:sz w:val="20"/>
                <w:szCs w:val="20"/>
                <w:color w:val="auto"/>
              </w:rPr>
            </w:pPr>
            <w:r>
              <w:rPr>
                <w:rFonts w:ascii="Arial" w:cs="Arial" w:eastAsia="Arial" w:hAnsi="Arial"/>
                <w:sz w:val="18"/>
                <w:szCs w:val="18"/>
                <w:b w:val="1"/>
                <w:bCs w:val="1"/>
                <w:color w:val="auto"/>
                <w:w w:val="89"/>
              </w:rPr>
              <w:t>Ended June 30, 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Ended June 30, 2022</w:t>
            </w:r>
          </w:p>
        </w:tc>
        <w:tc>
          <w:tcPr>
            <w:tcW w:w="100" w:type="dxa"/>
            <w:vAlign w:val="bottom"/>
          </w:tcPr>
          <w:p>
            <w:pPr>
              <w:spacing w:after="0"/>
              <w:rPr>
                <w:sz w:val="20"/>
                <w:szCs w:val="20"/>
                <w:color w:val="auto"/>
              </w:rPr>
            </w:pPr>
          </w:p>
        </w:tc>
      </w:tr>
      <w:tr>
        <w:trPr>
          <w:trHeight w:val="198"/>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Held-to-</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Held-to-</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Maturity,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9"/>
              </w:rPr>
              <w:t>Allowance</w:t>
            </w:r>
          </w:p>
        </w:tc>
        <w:tc>
          <w:tcPr>
            <w:tcW w:w="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Maturity,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of Allowance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9"/>
              </w:rPr>
              <w:t>for Expected</w:t>
            </w:r>
          </w:p>
        </w:tc>
        <w:tc>
          <w:tcPr>
            <w:tcW w:w="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of Allowance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for Expected</w:t>
            </w: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for Expected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6"/>
              </w:rPr>
              <w:t>Credit</w:t>
            </w:r>
          </w:p>
        </w:tc>
        <w:tc>
          <w:tcPr>
            <w:tcW w:w="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for Expected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6"/>
              </w:rPr>
              <w:t>Credit</w:t>
            </w:r>
          </w:p>
        </w:tc>
        <w:tc>
          <w:tcPr>
            <w:tcW w:w="100" w:type="dxa"/>
            <w:vAlign w:val="bottom"/>
          </w:tcPr>
          <w:p>
            <w:pPr>
              <w:spacing w:after="0"/>
              <w:rPr>
                <w:sz w:val="18"/>
                <w:szCs w:val="18"/>
                <w:color w:val="auto"/>
              </w:rPr>
            </w:pPr>
          </w:p>
        </w:tc>
      </w:tr>
      <w:tr>
        <w:trPr>
          <w:trHeight w:val="241"/>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7"/>
              </w:rPr>
              <w:t>Credit 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7"/>
              </w:rPr>
              <w:t>Credit Losses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(in</w:t>
            </w:r>
          </w:p>
        </w:tc>
        <w:tc>
          <w:tcPr>
            <w:tcW w:w="1360" w:type="dxa"/>
            <w:vAlign w:val="bottom"/>
            <w:gridSpan w:val="5"/>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688,439</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6"/>
              </w:rPr>
              <w:t>668,105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r>
      <w:tr>
        <w:trPr>
          <w:trHeight w:val="195"/>
        </w:trPr>
        <w:tc>
          <w:tcPr>
            <w:tcW w:w="57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1"/>
              </w:rPr>
              <w:t>Cumulative effect of adoption of updated accounting guidance for credit losses</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at January 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23"/>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period change for expected credit losses</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685,402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10"/>
              <w:spacing w:after="0"/>
              <w:rPr>
                <w:sz w:val="20"/>
                <w:szCs w:val="20"/>
                <w:color w:val="auto"/>
              </w:rPr>
            </w:pPr>
            <w:r>
              <w:rPr>
                <w:rFonts w:ascii="Arial" w:cs="Arial" w:eastAsia="Arial" w:hAnsi="Arial"/>
                <w:sz w:val="18"/>
                <w:szCs w:val="18"/>
                <w:color w:val="auto"/>
              </w:rPr>
              <w:t>1,324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w w:val="86"/>
              </w:rPr>
              <w:t>700,335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Receivable</w:t>
      </w:r>
    </w:p>
    <w:p>
      <w:pPr>
        <w:spacing w:after="0" w:line="229" w:lineRule="exact"/>
        <w:rPr>
          <w:sz w:val="20"/>
          <w:szCs w:val="20"/>
          <w:color w:val="auto"/>
        </w:rPr>
      </w:pPr>
    </w:p>
    <w:p>
      <w:pPr>
        <w:jc w:val="both"/>
        <w:ind w:right="100" w:firstLine="486"/>
        <w:spacing w:after="0" w:line="277" w:lineRule="auto"/>
        <w:rPr>
          <w:sz w:val="20"/>
          <w:szCs w:val="20"/>
          <w:color w:val="auto"/>
        </w:rPr>
      </w:pPr>
      <w:r>
        <w:rPr>
          <w:rFonts w:ascii="Arial" w:cs="Arial" w:eastAsia="Arial" w:hAnsi="Arial"/>
          <w:sz w:val="18"/>
          <w:szCs w:val="18"/>
          <w:color w:val="auto"/>
        </w:rPr>
        <w:t>The following table presents the balances for reinsurance receivable, net of the allowance for expected credit losses, at June 30, 2023 and 2022, and the changes in the allowance for expected credit losses for the three and six months ended June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7"/>
          </w:tcPr>
          <w:p>
            <w:pPr>
              <w:jc w:val="right"/>
              <w:ind w:right="196"/>
              <w:spacing w:after="0"/>
              <w:rPr>
                <w:sz w:val="20"/>
                <w:szCs w:val="20"/>
                <w:color w:val="auto"/>
              </w:rPr>
            </w:pPr>
            <w:r>
              <w:rPr>
                <w:rFonts w:ascii="Arial" w:cs="Arial" w:eastAsia="Arial" w:hAnsi="Arial"/>
                <w:sz w:val="18"/>
                <w:szCs w:val="18"/>
                <w:b w:val="1"/>
                <w:bCs w:val="1"/>
                <w:color w:val="auto"/>
                <w:w w:val="94"/>
              </w:rPr>
              <w:t>At and For the Three Months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At and For the Three Months</w:t>
            </w:r>
          </w:p>
        </w:tc>
        <w:tc>
          <w:tcPr>
            <w:tcW w:w="100" w:type="dxa"/>
            <w:vAlign w:val="bottom"/>
          </w:tcPr>
          <w:p>
            <w:pPr>
              <w:spacing w:after="0"/>
              <w:rPr>
                <w:sz w:val="18"/>
                <w:szCs w:val="18"/>
                <w:color w:val="auto"/>
              </w:rPr>
            </w:pPr>
          </w:p>
        </w:tc>
      </w:tr>
      <w:tr>
        <w:trPr>
          <w:trHeight w:val="241"/>
        </w:trPr>
        <w:tc>
          <w:tcPr>
            <w:tcW w:w="4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right"/>
              <w:ind w:right="536"/>
              <w:spacing w:after="0"/>
              <w:rPr>
                <w:sz w:val="20"/>
                <w:szCs w:val="20"/>
                <w:color w:val="auto"/>
              </w:rPr>
            </w:pPr>
            <w:r>
              <w:rPr>
                <w:rFonts w:ascii="Arial" w:cs="Arial" w:eastAsia="Arial" w:hAnsi="Arial"/>
                <w:sz w:val="18"/>
                <w:szCs w:val="18"/>
                <w:b w:val="1"/>
                <w:bCs w:val="1"/>
                <w:color w:val="auto"/>
                <w:w w:val="98"/>
              </w:rPr>
              <w:t>Ended June 30, 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Ended June 30, 2022</w:t>
            </w:r>
          </w:p>
        </w:tc>
        <w:tc>
          <w:tcPr>
            <w:tcW w:w="100" w:type="dxa"/>
            <w:vAlign w:val="bottom"/>
          </w:tcPr>
          <w:p>
            <w:pPr>
              <w:spacing w:after="0"/>
              <w:rPr>
                <w:sz w:val="20"/>
                <w:szCs w:val="20"/>
                <w:color w:val="auto"/>
              </w:rPr>
            </w:pPr>
          </w:p>
        </w:tc>
      </w:tr>
      <w:tr>
        <w:trPr>
          <w:trHeight w:val="198"/>
        </w:trPr>
        <w:tc>
          <w:tcPr>
            <w:tcW w:w="4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Reinsurance</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Reinsurance</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Receivable,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56"/>
              <w:spacing w:after="0"/>
              <w:rPr>
                <w:sz w:val="20"/>
                <w:szCs w:val="20"/>
                <w:color w:val="auto"/>
              </w:rPr>
            </w:pPr>
            <w:r>
              <w:rPr>
                <w:rFonts w:ascii="Arial" w:cs="Arial" w:eastAsia="Arial" w:hAnsi="Arial"/>
                <w:sz w:val="18"/>
                <w:szCs w:val="18"/>
                <w:b w:val="1"/>
                <w:bCs w:val="1"/>
                <w:color w:val="auto"/>
                <w:w w:val="89"/>
              </w:rPr>
              <w:t>Allowance</w:t>
            </w:r>
          </w:p>
        </w:tc>
        <w:tc>
          <w:tcPr>
            <w:tcW w:w="13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8"/>
              </w:rPr>
              <w:t>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of Allowance</w:t>
            </w:r>
          </w:p>
        </w:tc>
        <w:tc>
          <w:tcPr>
            <w:tcW w:w="100" w:type="dxa"/>
            <w:vAlign w:val="bottom"/>
          </w:tcPr>
          <w:p>
            <w:pPr>
              <w:spacing w:after="0"/>
              <w:rPr>
                <w:sz w:val="18"/>
                <w:szCs w:val="18"/>
                <w:color w:val="auto"/>
              </w:rPr>
            </w:pPr>
          </w:p>
        </w:tc>
        <w:tc>
          <w:tcPr>
            <w:tcW w:w="1260" w:type="dxa"/>
            <w:vAlign w:val="bottom"/>
            <w:gridSpan w:val="3"/>
          </w:tcPr>
          <w:p>
            <w:pPr>
              <w:jc w:val="center"/>
              <w:ind w:right="36"/>
              <w:spacing w:after="0"/>
              <w:rPr>
                <w:sz w:val="20"/>
                <w:szCs w:val="20"/>
                <w:color w:val="auto"/>
              </w:rPr>
            </w:pPr>
            <w:r>
              <w:rPr>
                <w:rFonts w:ascii="Arial" w:cs="Arial" w:eastAsia="Arial" w:hAnsi="Arial"/>
                <w:sz w:val="18"/>
                <w:szCs w:val="18"/>
                <w:b w:val="1"/>
                <w:bCs w:val="1"/>
                <w:color w:val="auto"/>
                <w:w w:val="89"/>
              </w:rPr>
              <w:t>for Expected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of Allowance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for Expected</w:t>
            </w: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for Expected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76"/>
              <w:spacing w:after="0"/>
              <w:rPr>
                <w:sz w:val="20"/>
                <w:szCs w:val="20"/>
                <w:color w:val="auto"/>
              </w:rPr>
            </w:pPr>
            <w:r>
              <w:rPr>
                <w:rFonts w:ascii="Arial" w:cs="Arial" w:eastAsia="Arial" w:hAnsi="Arial"/>
                <w:sz w:val="18"/>
                <w:szCs w:val="18"/>
                <w:b w:val="1"/>
                <w:bCs w:val="1"/>
                <w:color w:val="auto"/>
                <w:w w:val="96"/>
              </w:rPr>
              <w:t>Credit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for Expected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Credit</w:t>
            </w:r>
          </w:p>
        </w:tc>
        <w:tc>
          <w:tcPr>
            <w:tcW w:w="100" w:type="dxa"/>
            <w:vAlign w:val="bottom"/>
          </w:tcPr>
          <w:p>
            <w:pPr>
              <w:spacing w:after="0"/>
              <w:rPr>
                <w:sz w:val="18"/>
                <w:szCs w:val="18"/>
                <w:color w:val="auto"/>
              </w:rPr>
            </w:pPr>
          </w:p>
        </w:tc>
      </w:tr>
      <w:tr>
        <w:trPr>
          <w:trHeight w:val="241"/>
        </w:trPr>
        <w:tc>
          <w:tcPr>
            <w:tcW w:w="4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420" w:type="dxa"/>
            <w:vAlign w:val="bottom"/>
            <w:gridSpan w:val="4"/>
          </w:tcPr>
          <w:p>
            <w:pPr>
              <w:jc w:val="right"/>
              <w:ind w:right="71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460,681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1,467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r>
      <w:tr>
        <w:trPr>
          <w:trHeight w:val="216"/>
        </w:trPr>
        <w:tc>
          <w:tcPr>
            <w:tcW w:w="4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Current period change for expected credit losses</w:t>
            </w:r>
          </w:p>
        </w:tc>
        <w:tc>
          <w:tcPr>
            <w:tcW w:w="1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36"/>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8"/>
                <w:szCs w:val="18"/>
                <w:color w:val="auto"/>
              </w:rPr>
            </w:pP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30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450,680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445,151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49"/>
        </w:trPr>
        <w:tc>
          <w:tcPr>
            <w:tcW w:w="4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5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7"/>
              </w:rPr>
              <w:t>At and For the Six Months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1"/>
              </w:rPr>
              <w:t>At and For the Six Months</w:t>
            </w:r>
          </w:p>
        </w:tc>
        <w:tc>
          <w:tcPr>
            <w:tcW w:w="100" w:type="dxa"/>
            <w:vAlign w:val="bottom"/>
          </w:tcPr>
          <w:p>
            <w:pPr>
              <w:spacing w:after="0"/>
              <w:rPr>
                <w:sz w:val="24"/>
                <w:szCs w:val="24"/>
                <w:color w:val="auto"/>
              </w:rPr>
            </w:pPr>
          </w:p>
        </w:tc>
      </w:tr>
      <w:tr>
        <w:trPr>
          <w:trHeight w:val="241"/>
        </w:trPr>
        <w:tc>
          <w:tcPr>
            <w:tcW w:w="3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Ended June 30, 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b w:val="1"/>
                <w:bCs w:val="1"/>
                <w:color w:val="auto"/>
                <w:w w:val="90"/>
              </w:rPr>
              <w:t>Ended June 30, 2022</w:t>
            </w:r>
          </w:p>
        </w:tc>
        <w:tc>
          <w:tcPr>
            <w:tcW w:w="100" w:type="dxa"/>
            <w:vAlign w:val="bottom"/>
          </w:tcPr>
          <w:p>
            <w:pPr>
              <w:spacing w:after="0"/>
              <w:rPr>
                <w:sz w:val="20"/>
                <w:szCs w:val="20"/>
                <w:color w:val="auto"/>
              </w:rPr>
            </w:pPr>
          </w:p>
        </w:tc>
      </w:tr>
      <w:tr>
        <w:trPr>
          <w:trHeight w:val="198"/>
        </w:trPr>
        <w:tc>
          <w:tcPr>
            <w:tcW w:w="3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Reinsurance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8"/>
              </w:rPr>
              <w:t>Reinsurance</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Receivable,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Allowance</w:t>
            </w: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Receivable, Net</w:t>
            </w: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Allowance</w:t>
            </w:r>
          </w:p>
        </w:tc>
        <w:tc>
          <w:tcPr>
            <w:tcW w:w="2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 Expected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of Allowance</w:t>
            </w: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for Expected</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for Expected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for Expected</w:t>
            </w: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Credit</w:t>
            </w:r>
          </w:p>
        </w:tc>
        <w:tc>
          <w:tcPr>
            <w:tcW w:w="10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Credit Losses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40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r>
      <w:tr>
        <w:trPr>
          <w:trHeight w:val="195"/>
        </w:trPr>
        <w:tc>
          <w:tcPr>
            <w:tcW w:w="578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Cumulative effect of adoption of updated accounting guidance for credit</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losses at January 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23"/>
        </w:trPr>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period change for expected credit losses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450,680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445,151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13 -</w:t>
      </w:r>
      <w:r>
        <w:rPr>
          <w:sz w:val="20"/>
          <w:szCs w:val="20"/>
          <w:color w:val="auto"/>
        </w:rPr>
        <w:tab/>
      </w:r>
      <w:r>
        <w:rPr>
          <w:rFonts w:ascii="Arial" w:cs="Arial" w:eastAsia="Arial" w:hAnsi="Arial"/>
          <w:sz w:val="16"/>
          <w:szCs w:val="16"/>
          <w:b w:val="1"/>
          <w:bCs w:val="1"/>
          <w:color w:val="auto"/>
        </w:rPr>
        <w:t>Impact of New Accounting Standards</w:t>
      </w:r>
    </w:p>
    <w:p>
      <w:pPr>
        <w:spacing w:after="0" w:line="229"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In September 2016,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9"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We combine our financial statements with those of our insurance subsidiaries and present our financial statements on a consolidated basis in accordance with United States generally accepted accounting principles (“GAAP”).</w:t>
      </w:r>
    </w:p>
    <w:p>
      <w:pPr>
        <w:spacing w:after="0" w:line="170"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of these liabilities may differ from the estimates we provided. We regularly review our methods for making these estimates and we reflect any adjustment we consider necessary in our current consolidated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Liabilities for Losses and Loss Expenses</w:t>
      </w:r>
    </w:p>
    <w:p>
      <w:pPr>
        <w:spacing w:after="0" w:line="225"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66"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used automobile values, lengthening of repair completion times, increases in the cost of replacement automobile parts and rising labor rates. These trend changes give rise to greater uncertainty as to the pattern of future loss settlements. Related uncertainties regarding future trends include social inflation, availability and cost of building materials, availability of skilled labor, the rate of plaintiff attorney involvement in claims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June 30, 2023. For every 1% change in our insurance subsidiaries’ loss and loss expense reserves, net of reinsurance recoverable, the effect on our pre-tax results of operations would be approximately $6.8 million.</w:t>
      </w:r>
    </w:p>
    <w:p>
      <w:pPr>
        <w:spacing w:after="0" w:line="174"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65"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rising inflation and increased litigation trends. We have also experienced a general slowing of settlement rates in litigated claims and lengthening of repair completion times for property and automobile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65" w:lineRule="exact"/>
        <w:rPr>
          <w:sz w:val="20"/>
          <w:szCs w:val="20"/>
          <w:color w:val="auto"/>
        </w:rPr>
      </w:pPr>
    </w:p>
    <w:p>
      <w:pPr>
        <w:ind w:right="220" w:firstLine="446"/>
        <w:spacing w:after="0" w:line="272" w:lineRule="auto"/>
        <w:rPr>
          <w:sz w:val="20"/>
          <w:szCs w:val="20"/>
          <w:color w:val="auto"/>
        </w:rPr>
      </w:pPr>
      <w:r>
        <w:rPr>
          <w:rFonts w:ascii="Arial" w:cs="Arial" w:eastAsia="Arial" w:hAnsi="Arial"/>
          <w:sz w:val="17"/>
          <w:szCs w:val="17"/>
          <w:color w:val="auto"/>
        </w:rPr>
        <w:t>Atlantic States’ participation in the pool with Donegal Mutual exposes Atlantic States to adverse loss development on the business of Donegal Mutual that the pool includes. However, pooled business represents the predominant percentage of the net underwriting activity of both companies, and Donegal Mutual and Atlantic States share proportionately any adverse risk development relating to the pooled business. The business in the pool is homogeneous and each company has a pro-rata share of the entire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Our insurance subsidiaries’ liabilities for losses and loss expenses by major line of business at June 30, 2023 and December 31, 2022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vMerge w:val="restart"/>
          </w:tcPr>
          <w:p>
            <w:pPr>
              <w:spacing w:after="0"/>
              <w:rPr>
                <w:sz w:val="20"/>
                <w:szCs w:val="20"/>
                <w:color w:val="auto"/>
              </w:rPr>
            </w:pPr>
            <w:r>
              <w:rPr>
                <w:rFonts w:ascii="Arial" w:cs="Arial" w:eastAsia="Arial" w:hAnsi="Arial"/>
                <w:sz w:val="18"/>
                <w:szCs w:val="18"/>
                <w:color w:val="auto"/>
              </w:rPr>
              <w:t>Commercial lines:</w:t>
            </w: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vMerge w:val="continue"/>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Automobile</w:t>
            </w:r>
          </w:p>
        </w:tc>
        <w:tc>
          <w:tcPr>
            <w:tcW w:w="29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176,673</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Workers’ compensation</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122,137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multi-peril</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180"/>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commercial lines</w:t>
            </w:r>
          </w:p>
        </w:tc>
        <w:tc>
          <w:tcPr>
            <w:tcW w:w="2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Personal lines: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Automobile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Homeowners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Total personal lines</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142,846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commercial and personal lines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Plus reinsurance recoverable</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445,237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for losses and loss expenses</w:t>
            </w:r>
          </w:p>
        </w:tc>
        <w:tc>
          <w:tcPr>
            <w:tcW w:w="2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1,122,683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1,121,046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25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Adjusted Loss and Loss</w:t>
            </w: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Adjusted Loss and Loss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Percentage Change in Loss</w:t>
            </w:r>
          </w:p>
        </w:tc>
        <w:tc>
          <w:tcPr>
            <w:tcW w:w="20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Expense Reserves Net of</w:t>
            </w:r>
          </w:p>
        </w:tc>
        <w:tc>
          <w:tcPr>
            <w:tcW w:w="1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Change</w:t>
            </w:r>
          </w:p>
        </w:tc>
        <w:tc>
          <w:tcPr>
            <w:tcW w:w="200" w:type="dxa"/>
            <w:vAlign w:val="bottom"/>
          </w:tcPr>
          <w:p>
            <w:pPr>
              <w:spacing w:after="0"/>
              <w:rPr>
                <w:sz w:val="18"/>
                <w:szCs w:val="18"/>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Expense Reserves Net of</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Change</w:t>
            </w:r>
          </w:p>
        </w:tc>
        <w:tc>
          <w:tcPr>
            <w:tcW w:w="100" w:type="dxa"/>
            <w:vAlign w:val="bottom"/>
          </w:tcPr>
          <w:p>
            <w:pPr>
              <w:spacing w:after="0"/>
              <w:rPr>
                <w:sz w:val="18"/>
                <w:szCs w:val="18"/>
                <w:color w:val="auto"/>
              </w:rPr>
            </w:pPr>
          </w:p>
        </w:tc>
      </w:tr>
      <w:tr>
        <w:trPr>
          <w:trHeight w:val="216"/>
        </w:trPr>
        <w:tc>
          <w:tcPr>
            <w:tcW w:w="2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and Loss Expense Reserves</w:t>
            </w:r>
          </w:p>
        </w:tc>
        <w:tc>
          <w:tcPr>
            <w:tcW w:w="20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Reinsurance at</w:t>
            </w:r>
          </w:p>
        </w:tc>
        <w:tc>
          <w:tcPr>
            <w:tcW w:w="21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in Stockholders’ Equity at</w:t>
            </w:r>
          </w:p>
        </w:tc>
        <w:tc>
          <w:tcPr>
            <w:tcW w:w="200" w:type="dxa"/>
            <w:vAlign w:val="bottom"/>
          </w:tcPr>
          <w:p>
            <w:pPr>
              <w:spacing w:after="0"/>
              <w:rPr>
                <w:sz w:val="18"/>
                <w:szCs w:val="18"/>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Reinsurance at</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in Stockholders’ Equity at</w:t>
            </w:r>
          </w:p>
        </w:tc>
        <w:tc>
          <w:tcPr>
            <w:tcW w:w="10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21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Net of Reinsurance</w:t>
            </w:r>
          </w:p>
        </w:tc>
        <w:tc>
          <w:tcPr>
            <w:tcW w:w="200" w:type="dxa"/>
            <w:vAlign w:val="bottom"/>
          </w:tcPr>
          <w:p>
            <w:pPr>
              <w:spacing w:after="0"/>
              <w:rPr>
                <w:sz w:val="20"/>
                <w:szCs w:val="20"/>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June 30, 2023</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June 30, 2023(1)</w:t>
            </w:r>
          </w:p>
        </w:tc>
        <w:tc>
          <w:tcPr>
            <w:tcW w:w="200" w:type="dxa"/>
            <w:vAlign w:val="bottom"/>
          </w:tcPr>
          <w:p>
            <w:pPr>
              <w:spacing w:after="0"/>
              <w:rPr>
                <w:sz w:val="20"/>
                <w:szCs w:val="20"/>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 2022</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2022(1)</w:t>
            </w:r>
          </w:p>
        </w:tc>
        <w:tc>
          <w:tcPr>
            <w:tcW w:w="100" w:type="dxa"/>
            <w:vAlign w:val="bottom"/>
          </w:tcPr>
          <w:p>
            <w:pPr>
              <w:spacing w:after="0"/>
              <w:rPr>
                <w:sz w:val="20"/>
                <w:szCs w:val="20"/>
                <w:color w:val="auto"/>
              </w:rPr>
            </w:pPr>
          </w:p>
        </w:tc>
      </w:tr>
      <w:tr>
        <w:trPr>
          <w:trHeight w:val="216"/>
        </w:trPr>
        <w:tc>
          <w:tcPr>
            <w:tcW w:w="3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(dollars in thousands)</w:t>
            </w:r>
          </w:p>
        </w:tc>
        <w:tc>
          <w:tcPr>
            <w:tcW w:w="20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$609,701</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11.0%</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$602,876</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10.9%</w:t>
            </w: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1"/>
              </w:rPr>
              <w:t>(7.5)</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626,638</w:t>
            </w:r>
          </w:p>
        </w:tc>
        <w:tc>
          <w:tcPr>
            <w:tcW w:w="120" w:type="dxa"/>
            <w:vAlign w:val="bottom"/>
          </w:tcPr>
          <w:p>
            <w:pPr>
              <w:spacing w:after="0"/>
              <w:rPr>
                <w:sz w:val="18"/>
                <w:szCs w:val="18"/>
                <w:color w:val="auto"/>
              </w:rPr>
            </w:pPr>
          </w:p>
        </w:tc>
        <w:tc>
          <w:tcPr>
            <w:tcW w:w="2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8.3</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619,622</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8.2</w:t>
            </w:r>
          </w:p>
        </w:tc>
        <w:tc>
          <w:tcPr>
            <w:tcW w:w="10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643,574</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5.5</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636,369</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1"/>
              </w:rPr>
              <w:t>(2.5)</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660,510</w:t>
            </w:r>
          </w:p>
        </w:tc>
        <w:tc>
          <w:tcPr>
            <w:tcW w:w="120" w:type="dxa"/>
            <w:vAlign w:val="bottom"/>
          </w:tcPr>
          <w:p>
            <w:pPr>
              <w:spacing w:after="0"/>
              <w:rPr>
                <w:sz w:val="18"/>
                <w:szCs w:val="18"/>
                <w:color w:val="auto"/>
              </w:rPr>
            </w:pPr>
          </w:p>
        </w:tc>
        <w:tc>
          <w:tcPr>
            <w:tcW w:w="2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2.8</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653,115</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2"/>
              </w:rPr>
              <w:t>Base</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677,446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669,862</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87"/>
              </w:rPr>
              <w:t>2.5</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694,382</w:t>
            </w:r>
          </w:p>
        </w:tc>
        <w:tc>
          <w:tcPr>
            <w:tcW w:w="120" w:type="dxa"/>
            <w:vAlign w:val="bottom"/>
          </w:tcPr>
          <w:p>
            <w:pPr>
              <w:spacing w:after="0"/>
              <w:rPr>
                <w:sz w:val="18"/>
                <w:szCs w:val="18"/>
                <w:color w:val="auto"/>
              </w:rPr>
            </w:pPr>
          </w:p>
        </w:tc>
        <w:tc>
          <w:tcPr>
            <w:tcW w:w="21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(2.8)</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686,609</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(2.7)</w:t>
            </w:r>
          </w:p>
        </w:tc>
        <w:tc>
          <w:tcPr>
            <w:tcW w:w="10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711,318</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(5.5)</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703,355</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w:t>
            </w: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87"/>
              </w:rPr>
              <w:t>7.5</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728,254</w:t>
            </w:r>
          </w:p>
        </w:tc>
        <w:tc>
          <w:tcPr>
            <w:tcW w:w="120" w:type="dxa"/>
            <w:vAlign w:val="bottom"/>
          </w:tcPr>
          <w:p>
            <w:pPr>
              <w:spacing w:after="0"/>
              <w:rPr>
                <w:sz w:val="18"/>
                <w:szCs w:val="18"/>
                <w:color w:val="auto"/>
              </w:rPr>
            </w:pPr>
          </w:p>
        </w:tc>
        <w:tc>
          <w:tcPr>
            <w:tcW w:w="21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(8.3)</w:t>
            </w:r>
          </w:p>
        </w:tc>
        <w:tc>
          <w:tcPr>
            <w:tcW w:w="20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720,102</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(8.2)</w:t>
            </w:r>
          </w:p>
        </w:tc>
        <w:tc>
          <w:tcPr>
            <w:tcW w:w="10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10.0</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745,191</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(11.0)</w:t>
            </w:r>
          </w:p>
        </w:tc>
        <w:tc>
          <w:tcPr>
            <w:tcW w:w="2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736,848</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(10.9)</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0712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8" w:lineRule="exact"/>
        <w:rPr>
          <w:sz w:val="20"/>
          <w:szCs w:val="20"/>
          <w:color w:val="auto"/>
        </w:rPr>
      </w:pPr>
    </w:p>
    <w:p>
      <w:pPr>
        <w:ind w:right="8960" w:firstLine="8"/>
        <w:spacing w:after="0" w:line="530" w:lineRule="auto"/>
        <w:tabs>
          <w:tab w:leader="none" w:pos="486"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of income tax effect. Non-GAAP Information</w:t>
      </w:r>
    </w:p>
    <w:p>
      <w:pPr>
        <w:spacing w:after="0" w:line="1"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61" w:lineRule="exact"/>
        <w:rPr>
          <w:sz w:val="20"/>
          <w:szCs w:val="20"/>
          <w:color w:val="auto"/>
        </w:rPr>
      </w:pPr>
    </w:p>
    <w:p>
      <w:pPr>
        <w:jc w:val="both"/>
        <w:ind w:right="340" w:firstLine="405"/>
        <w:spacing w:after="0" w:line="263" w:lineRule="auto"/>
        <w:rPr>
          <w:sz w:val="20"/>
          <w:szCs w:val="20"/>
          <w:color w:val="auto"/>
        </w:rPr>
      </w:pPr>
      <w:r>
        <w:rPr>
          <w:rFonts w:ascii="Arial" w:cs="Arial" w:eastAsia="Arial" w:hAnsi="Arial"/>
          <w:sz w:val="18"/>
          <w:szCs w:val="18"/>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Premiums Written</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following table provides a reconciliation of our net premiums earned to our net premiums written for the three and six months ended June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58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Three Months Ended June 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4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4"/>
          </w:tcPr>
          <w:p>
            <w:pPr>
              <w:jc w:val="right"/>
              <w:ind w:right="63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216,260</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204,128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431,493</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403,377</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Change in net unearned premiums</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10,252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
              <w:spacing w:after="0"/>
              <w:rPr>
                <w:sz w:val="20"/>
                <w:szCs w:val="20"/>
                <w:color w:val="auto"/>
              </w:rPr>
            </w:pPr>
            <w:r>
              <w:rPr>
                <w:rFonts w:ascii="Arial" w:cs="Arial" w:eastAsia="Arial" w:hAnsi="Arial"/>
                <w:sz w:val="18"/>
                <w:szCs w:val="18"/>
                <w:color w:val="auto"/>
              </w:rPr>
              <w:t>14,318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33,511</w:t>
            </w:r>
          </w:p>
        </w:tc>
        <w:tc>
          <w:tcPr>
            <w:tcW w:w="100" w:type="dxa"/>
            <w:vAlign w:val="bottom"/>
          </w:tcPr>
          <w:p>
            <w:pPr>
              <w:spacing w:after="0"/>
              <w:rPr>
                <w:sz w:val="19"/>
                <w:szCs w:val="19"/>
                <w:color w:val="auto"/>
              </w:rPr>
            </w:pP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premiums written</w:t>
            </w:r>
          </w:p>
        </w:tc>
        <w:tc>
          <w:tcPr>
            <w:tcW w:w="1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226,512</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Statutory Combined Ratio</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statutory combined ratio is a non-GAAP financial measure that is based upon amounts determined under SAP. We calculate our statutory combined ratio as the sum of:</w:t>
      </w:r>
    </w:p>
    <w:p>
      <w:pPr>
        <w:spacing w:after="0" w:line="170" w:lineRule="exact"/>
        <w:rPr>
          <w:sz w:val="20"/>
          <w:szCs w:val="20"/>
          <w:color w:val="auto"/>
        </w:rPr>
      </w:pPr>
    </w:p>
    <w:p>
      <w:pPr>
        <w:ind w:left="700" w:hanging="327"/>
        <w:spacing w:after="0" w:line="25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statutory loss ratio, which is the ratio of calendar-year net incurred losses and loss expenses, excluding anticipated salvage and subrogation recoveries, to net premiums earned;</w:t>
      </w:r>
    </w:p>
    <w:p>
      <w:pPr>
        <w:spacing w:after="0" w:line="1" w:lineRule="exact"/>
        <w:rPr>
          <w:rFonts w:ascii="Arial" w:cs="Arial" w:eastAsia="Arial" w:hAnsi="Arial"/>
          <w:sz w:val="18"/>
          <w:szCs w:val="18"/>
          <w:color w:val="auto"/>
        </w:rPr>
      </w:pPr>
    </w:p>
    <w:p>
      <w:pPr>
        <w:ind w:left="700" w:hanging="327"/>
        <w:spacing w:after="0" w:line="250"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statutory expense ratio, which is the ratio of expenses incurred for net commissions, premium taxes and underwriting expenses to net premiums written; and</w:t>
      </w:r>
    </w:p>
    <w:p>
      <w:pPr>
        <w:ind w:left="700" w:hanging="32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statutory dividend ratio, which is the ratio of dividends to holders of workers’ compensation policies to net premiums earned.</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Combined Ratios</w:t>
      </w:r>
    </w:p>
    <w:p>
      <w:pPr>
        <w:spacing w:after="0" w:line="22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presents comparative details with respect to our GAAP and statutory combined ratios for the three and six months ended June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3"/>
              </w:rPr>
              <w:t>Three Months Ended June 30,</w:t>
            </w:r>
          </w:p>
        </w:tc>
        <w:tc>
          <w:tcPr>
            <w:tcW w:w="26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GAAP Combined Ratios (Total Lines)</w:t>
            </w: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ratio - core losses</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Loss ratio - weather-related losses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ratio - large fire losses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Loss ratio - net prior-year reserve development</w:t>
            </w:r>
          </w:p>
        </w:tc>
        <w:tc>
          <w:tcPr>
            <w:tcW w:w="276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ratio</w:t>
            </w:r>
          </w:p>
        </w:tc>
        <w:tc>
          <w:tcPr>
            <w:tcW w:w="13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Expense ratio</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35.3</w:t>
            </w:r>
          </w:p>
        </w:tc>
        <w:tc>
          <w:tcPr>
            <w:tcW w:w="1120" w:type="dxa"/>
            <w:vAlign w:val="bottom"/>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r>
      <w:tr>
        <w:trPr>
          <w:trHeight w:val="223"/>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ratio</w:t>
            </w:r>
          </w:p>
        </w:tc>
        <w:tc>
          <w:tcPr>
            <w:tcW w:w="13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Combined ratio</w:t>
            </w:r>
          </w:p>
        </w:tc>
        <w:tc>
          <w:tcPr>
            <w:tcW w:w="2760" w:type="dxa"/>
            <w:vAlign w:val="bottom"/>
            <w:gridSpan w:val="3"/>
          </w:tcPr>
          <w:p>
            <w:pPr>
              <w:jc w:val="right"/>
              <w:ind w:right="120"/>
              <w:spacing w:after="0"/>
              <w:rPr>
                <w:sz w:val="20"/>
                <w:szCs w:val="20"/>
                <w:color w:val="auto"/>
              </w:rPr>
            </w:pPr>
            <w:r>
              <w:rPr>
                <w:rFonts w:ascii="Arial" w:cs="Arial" w:eastAsia="Arial" w:hAnsi="Arial"/>
                <w:sz w:val="18"/>
                <w:szCs w:val="18"/>
                <w:color w:val="auto"/>
              </w:rPr>
              <w:t>104.7%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100.4%</w:t>
            </w:r>
          </w:p>
        </w:tc>
      </w:tr>
      <w:tr>
        <w:trPr>
          <w:trHeight w:val="21"/>
        </w:trPr>
        <w:tc>
          <w:tcPr>
            <w:tcW w:w="4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Statutory Combined Ratios</w:t>
            </w: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Automobile</w:t>
            </w:r>
          </w:p>
        </w:tc>
        <w:tc>
          <w:tcPr>
            <w:tcW w:w="2760" w:type="dxa"/>
            <w:vAlign w:val="bottom"/>
            <w:gridSpan w:val="3"/>
          </w:tcPr>
          <w:p>
            <w:pPr>
              <w:jc w:val="right"/>
              <w:ind w:right="120"/>
              <w:spacing w:after="0"/>
              <w:rPr>
                <w:sz w:val="20"/>
                <w:szCs w:val="20"/>
                <w:color w:val="auto"/>
              </w:rPr>
            </w:pPr>
            <w:r>
              <w:rPr>
                <w:rFonts w:ascii="Arial" w:cs="Arial" w:eastAsia="Arial" w:hAnsi="Arial"/>
                <w:sz w:val="18"/>
                <w:szCs w:val="18"/>
                <w:color w:val="auto"/>
              </w:rPr>
              <w:t>101.9%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94.7%</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Workers’ compensation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Commercial multi-peril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111.8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113.3</w:t>
            </w:r>
          </w:p>
        </w:tc>
        <w:tc>
          <w:tcPr>
            <w:tcW w:w="1120" w:type="dxa"/>
            <w:vAlign w:val="bottom"/>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18"/>
                <w:szCs w:val="18"/>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Total commercial lines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101.8</w:t>
            </w:r>
          </w:p>
        </w:tc>
        <w:tc>
          <w:tcPr>
            <w:tcW w:w="1120" w:type="dxa"/>
            <w:vAlign w:val="bottom"/>
          </w:tcPr>
          <w:p>
            <w:pPr>
              <w:jc w:val="right"/>
              <w:spacing w:after="0"/>
              <w:rPr>
                <w:sz w:val="20"/>
                <w:szCs w:val="20"/>
                <w:color w:val="auto"/>
              </w:rPr>
            </w:pPr>
            <w:r>
              <w:rPr>
                <w:rFonts w:ascii="Arial" w:cs="Arial" w:eastAsia="Arial" w:hAnsi="Arial"/>
                <w:sz w:val="18"/>
                <w:szCs w:val="18"/>
                <w:color w:val="auto"/>
              </w:rPr>
              <w:t>97.6</w:t>
            </w: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Automobile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104.1</w:t>
            </w:r>
          </w:p>
        </w:tc>
        <w:tc>
          <w:tcPr>
            <w:tcW w:w="1120" w:type="dxa"/>
            <w:vAlign w:val="bottom"/>
          </w:tcPr>
          <w:p>
            <w:pPr>
              <w:jc w:val="right"/>
              <w:spacing w:after="0"/>
              <w:rPr>
                <w:sz w:val="20"/>
                <w:szCs w:val="20"/>
                <w:color w:val="auto"/>
              </w:rPr>
            </w:pPr>
            <w:r>
              <w:rPr>
                <w:rFonts w:ascii="Arial" w:cs="Arial" w:eastAsia="Arial" w:hAnsi="Arial"/>
                <w:sz w:val="18"/>
                <w:szCs w:val="18"/>
                <w:color w:val="auto"/>
              </w:rPr>
              <w:t>98.9</w:t>
            </w: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Homeowners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Other</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77.4</w:t>
            </w: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personal lines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Total commercial and personal lines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101.7</w:t>
            </w:r>
          </w:p>
        </w:tc>
        <w:tc>
          <w:tcPr>
            <w:tcW w:w="1120" w:type="dxa"/>
            <w:vAlign w:val="bottom"/>
          </w:tcPr>
          <w:p>
            <w:pPr>
              <w:jc w:val="right"/>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20"/>
                <w:szCs w:val="20"/>
                <w:color w:val="auto"/>
              </w:rPr>
            </w:pPr>
          </w:p>
        </w:tc>
      </w:tr>
      <w:tr>
        <w:trPr>
          <w:trHeight w:val="554"/>
        </w:trPr>
        <w:tc>
          <w:tcPr>
            <w:tcW w:w="4480" w:type="dxa"/>
            <w:vAlign w:val="bottom"/>
          </w:tcPr>
          <w:p>
            <w:pPr>
              <w:spacing w:after="0"/>
              <w:rPr>
                <w:sz w:val="24"/>
                <w:szCs w:val="24"/>
                <w:color w:val="auto"/>
              </w:rPr>
            </w:pPr>
          </w:p>
        </w:tc>
        <w:tc>
          <w:tcPr>
            <w:tcW w:w="1380" w:type="dxa"/>
            <w:vAlign w:val="bottom"/>
          </w:tcPr>
          <w:p>
            <w:pPr>
              <w:jc w:val="right"/>
              <w:ind w:right="71"/>
              <w:spacing w:after="0"/>
              <w:rPr>
                <w:sz w:val="20"/>
                <w:szCs w:val="20"/>
                <w:color w:val="auto"/>
              </w:rPr>
            </w:pPr>
            <w:r>
              <w:rPr>
                <w:rFonts w:ascii="Arial" w:cs="Arial" w:eastAsia="Arial" w:hAnsi="Arial"/>
                <w:sz w:val="14"/>
                <w:szCs w:val="14"/>
                <w:color w:val="auto"/>
              </w:rPr>
              <w:t>28</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
        </w:trPr>
        <w:tc>
          <w:tcPr>
            <w:tcW w:w="4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2023 Compared to Three Months Ended June 30, 2022</w:t>
      </w:r>
    </w:p>
    <w:p>
      <w:pPr>
        <w:spacing w:after="0" w:line="229" w:lineRule="exact"/>
        <w:rPr>
          <w:sz w:val="20"/>
          <w:szCs w:val="20"/>
          <w:color w:val="auto"/>
        </w:rPr>
      </w:pPr>
    </w:p>
    <w:p>
      <w:pPr>
        <w:ind w:right="120" w:firstLine="446"/>
        <w:spacing w:after="0" w:line="342" w:lineRule="auto"/>
        <w:rPr>
          <w:sz w:val="20"/>
          <w:szCs w:val="20"/>
          <w:color w:val="auto"/>
        </w:rPr>
      </w:pPr>
      <w:r>
        <w:rPr>
          <w:rFonts w:ascii="Arial" w:cs="Arial" w:eastAsia="Arial" w:hAnsi="Arial"/>
          <w:sz w:val="16"/>
          <w:szCs w:val="16"/>
          <w:i w:val="1"/>
          <w:iCs w:val="1"/>
          <w:color w:val="auto"/>
        </w:rPr>
        <w:t xml:space="preserve">Net Premiums Earned. </w:t>
      </w:r>
      <w:r>
        <w:rPr>
          <w:rFonts w:ascii="Arial" w:cs="Arial" w:eastAsia="Arial" w:hAnsi="Arial"/>
          <w:sz w:val="16"/>
          <w:szCs w:val="16"/>
          <w:color w:val="auto"/>
        </w:rPr>
        <w:t>Our insurance subsidiaries’ net premiums earned for the second quarter of 2023 were $216.3 million, an increase of $12.2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5.9%, compared to $204.1 million for the second quarter of 2022, primarily reflecting solid premium retention and renewal premium increases.</w:t>
      </w:r>
    </w:p>
    <w:p>
      <w:pPr>
        <w:spacing w:after="0" w:line="124" w:lineRule="exact"/>
        <w:rPr>
          <w:sz w:val="20"/>
          <w:szCs w:val="20"/>
          <w:color w:val="auto"/>
        </w:rPr>
      </w:pPr>
    </w:p>
    <w:p>
      <w:pPr>
        <w:ind w:right="180" w:firstLine="446"/>
        <w:spacing w:after="0" w:line="271" w:lineRule="auto"/>
        <w:rPr>
          <w:sz w:val="20"/>
          <w:szCs w:val="20"/>
          <w:color w:val="auto"/>
        </w:rPr>
      </w:pPr>
      <w:r>
        <w:rPr>
          <w:rFonts w:ascii="Arial" w:cs="Arial" w:eastAsia="Arial" w:hAnsi="Arial"/>
          <w:sz w:val="17"/>
          <w:szCs w:val="17"/>
          <w:i w:val="1"/>
          <w:iCs w:val="1"/>
          <w:color w:val="auto"/>
        </w:rPr>
        <w:t xml:space="preserve">Net Premiums Written. </w:t>
      </w:r>
      <w:r>
        <w:rPr>
          <w:rFonts w:ascii="Arial" w:cs="Arial" w:eastAsia="Arial" w:hAnsi="Arial"/>
          <w:sz w:val="17"/>
          <w:szCs w:val="17"/>
          <w:color w:val="auto"/>
        </w:rPr>
        <w:t>Our insurance subsidiaries’ net premiums written for the second quarter of 2023 were $226.5 million, an increase of $8.1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3.7%, from the $218.4 million of net premiums written for the second quarter of 2022. Commercial lines net premiums written decreased $4.3 million, or 3.2%, for the second quarter of 2023 compared to the second quarter of 2022. Personal lines net premiums written increased $12.4 million, or 14.8%, for the second quarter of 2023 compared to the second quarter of 2022. We attribute the decrease in commercial lines net premiums written primarily to planned attrition in states we are exiting or have targeted for profit improvement, lower new business writings and reinsurance reinstatement premiums on our property excess of loss reinsurance program, offset partially by strong premium retention and a continuation of renewal premium increases in lines other than workers’ compensation. We attribute the increase in personal lines net premiums written primarily to renewal premium increases and strong premium retention.</w:t>
      </w:r>
    </w:p>
    <w:p>
      <w:pPr>
        <w:spacing w:after="0" w:line="178" w:lineRule="exact"/>
        <w:rPr>
          <w:sz w:val="20"/>
          <w:szCs w:val="20"/>
          <w:color w:val="auto"/>
        </w:rPr>
      </w:pPr>
    </w:p>
    <w:p>
      <w:pPr>
        <w:jc w:val="both"/>
        <w:ind w:right="80" w:firstLine="446"/>
        <w:spacing w:after="0" w:line="263"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Our net investment income was $10.2 million for the second quarter of 2023, an increase of $2.0 million, or 23.8%,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$8.2 million for the second quarter of 2022. We attribute the increase primarily to an increase in the average investment yield relative to the second quarter of 2022.</w:t>
      </w:r>
    </w:p>
    <w:p>
      <w:pPr>
        <w:spacing w:after="0" w:line="184"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i w:val="1"/>
          <w:iCs w:val="1"/>
          <w:color w:val="auto"/>
        </w:rPr>
        <w:t xml:space="preserve">Net Investment Gains (Losses). </w:t>
      </w:r>
      <w:r>
        <w:rPr>
          <w:rFonts w:ascii="Arial" w:cs="Arial" w:eastAsia="Arial" w:hAnsi="Arial"/>
          <w:sz w:val="17"/>
          <w:szCs w:val="17"/>
          <w:color w:val="auto"/>
        </w:rPr>
        <w:t>Net investment gains for the second quarter of 2023 were $2.5 million, compared to net investment losses of $8.4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second quarter of 2022. The net investment gains and losses for the second quarter of 2023 and 2022, respectively, resulted primarily from the net change in unrealized gains and losses within our equity securities portfolio at June 30, 2023 and 2022, respectively. We did not recognize any impairment losses for individual securities in our investment portfolio during the second quarter of 2023 or 2022.</w:t>
      </w:r>
    </w:p>
    <w:p>
      <w:pPr>
        <w:spacing w:after="0" w:line="17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i w:val="1"/>
          <w:iCs w:val="1"/>
          <w:color w:val="auto"/>
        </w:rPr>
        <w:t xml:space="preserve">Losses and Loss Expenses. </w:t>
      </w:r>
      <w:r>
        <w:rPr>
          <w:rFonts w:ascii="Arial" w:cs="Arial" w:eastAsia="Arial" w:hAnsi="Arial"/>
          <w:sz w:val="16"/>
          <w:szCs w:val="16"/>
          <w:color w:val="auto"/>
        </w:rPr>
        <w:t>Our insurance subsidiaries’ loss ratio, which is the ratio of incurred losses and loss expenses to premiums earned, was</w:t>
      </w:r>
      <w:r>
        <w:rPr>
          <w:rFonts w:ascii="Arial" w:cs="Arial" w:eastAsia="Arial" w:hAnsi="Arial"/>
          <w:sz w:val="16"/>
          <w:szCs w:val="16"/>
          <w:i w:val="1"/>
          <w:iCs w:val="1"/>
          <w:color w:val="auto"/>
        </w:rPr>
        <w:t xml:space="preserve"> </w:t>
      </w:r>
      <w:r>
        <w:rPr>
          <w:rFonts w:ascii="Arial" w:cs="Arial" w:eastAsia="Arial" w:hAnsi="Arial"/>
          <w:sz w:val="16"/>
          <w:szCs w:val="16"/>
          <w:color w:val="auto"/>
        </w:rPr>
        <w:t>69.9% for the second quarter of 2023, an increase from our insurance subsidiaries’ loss ratio of 69.4% for the second quarter of 2022. We attribute this increase primarily to a decreased benefit of net favorable development of reserves for losses incurred in prior accident years. Loss ratios for both periods for the automobile and property lines of business reflected the impact of higher costs of labor, parts and materials. Weather-related losses were $19.7 million, or 9.1 percentage points of the loss ratio, for the second quarter of 2023, compared to $19.6 million, or 9.6 percentage points of the loss ratio, for the second quarter of 2022. The impact of weather-related loss activity to the loss ratio for the second quarter of 2023 was higher than our previous five-year average of 8.9 percentage points for second quarter weather-related losses. Large fire losses for the second quarter of 2023 were $12.7 million, or 5.9 percentage points of the loss ratio, compared to $13.4 million, or 6.6 percentage points of the loss ratio, for the second quarter of 2022. On a statutory basis, our insurance subsidiaries’ commercial lines loss ratio was 67.9% for the second quarter of 2023, compared to 66.2% for the second quarter of 2022, primarily due to an increase in the workers’ compensation loss ratio. The personal lines statutory loss ratio of our insurance subsidiaries decreased to 73.4% for the second quarter of 2023, compared to 75.2% for the second quarter of 2022. We attribute this decrease primarily to a decrease in the homeowners loss ratio. Our insurance subsidiaries experienced negligible favorable loss reserve development for the second quarter of 2023, compared to $7.9 million that decreased the loss ratio for the second quarter of 2022 by 3.9 percentage points.</w:t>
      </w:r>
    </w:p>
    <w:p>
      <w:pPr>
        <w:spacing w:after="0" w:line="174"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i w:val="1"/>
          <w:iCs w:val="1"/>
          <w:color w:val="auto"/>
        </w:rPr>
        <w:t xml:space="preserve">Underwriting Expenses. </w:t>
      </w:r>
      <w:r>
        <w:rPr>
          <w:rFonts w:ascii="Arial" w:cs="Arial" w:eastAsia="Arial" w:hAnsi="Arial"/>
          <w:sz w:val="18"/>
          <w:szCs w:val="18"/>
          <w:color w:val="auto"/>
        </w:rPr>
        <w:t>The expense ratio for an insurance company is the ratio of policy acquisition costs and other underwriting expenses to</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earned. The expense ratio of our insurance subsidiaries was 34.2% for the second quarter of 2023, compared to 35.0% for the second quarter of 2022. The decrease in the expense ratio primarily reflected lower underwriting-based incentive costs for our agents and employees for the second quarter of 2023 compared to the prior-year quarter.</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i w:val="1"/>
          <w:iCs w:val="1"/>
          <w:color w:val="auto"/>
        </w:rPr>
        <w:t xml:space="preserve">Combined Ratio. </w:t>
      </w:r>
      <w:r>
        <w:rPr>
          <w:rFonts w:ascii="Arial" w:cs="Arial" w:eastAsia="Arial" w:hAnsi="Arial"/>
          <w:sz w:val="18"/>
          <w:szCs w:val="18"/>
          <w:color w:val="auto"/>
        </w:rPr>
        <w:t>The combined ratio represents the sum of the loss ratio, the expense ratio and the dividend ratio, which is the ratio of policyholder</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incurred to premiums earned. Our insurance subsidiaries’ combined ratios were 104.7% and 105.0% for the second quarter of 2023 and 2022, respectively. We attribute the decrease in the combined ratio primarily to a decrease in the expense ratio for the second quarter of 2023 compared to the second quarter of 2022.</w:t>
      </w:r>
    </w:p>
    <w:p>
      <w:pPr>
        <w:spacing w:after="0" w:line="187" w:lineRule="exact"/>
        <w:rPr>
          <w:sz w:val="20"/>
          <w:szCs w:val="20"/>
          <w:color w:val="auto"/>
        </w:rPr>
      </w:pPr>
    </w:p>
    <w:p>
      <w:pPr>
        <w:ind w:right="100" w:firstLine="446"/>
        <w:spacing w:after="0" w:line="286"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We recorded income tax expense of $256,055 for the second quarter of 2023, representing an effective tax rate of</w:t>
      </w:r>
      <w:r>
        <w:rPr>
          <w:rFonts w:ascii="Arial" w:cs="Arial" w:eastAsia="Arial" w:hAnsi="Arial"/>
          <w:sz w:val="17"/>
          <w:szCs w:val="17"/>
          <w:i w:val="1"/>
          <w:iCs w:val="1"/>
          <w:color w:val="auto"/>
        </w:rPr>
        <w:t xml:space="preserve"> </w:t>
      </w:r>
      <w:r>
        <w:rPr>
          <w:rFonts w:ascii="Arial" w:cs="Arial" w:eastAsia="Arial" w:hAnsi="Arial"/>
          <w:sz w:val="17"/>
          <w:szCs w:val="17"/>
          <w:color w:val="auto"/>
        </w:rPr>
        <w:t>11.4%. We recorded an income tax benefit of $2.4 million for the second quarter of 2022. The income tax expense (benefit) for the second quarter of 2023 and 2022 represented estimates based on our projected annual taxable income and effective tax rates.</w:t>
      </w:r>
    </w:p>
    <w:p>
      <w:pPr>
        <w:spacing w:after="0" w:line="165"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i w:val="1"/>
          <w:iCs w:val="1"/>
          <w:color w:val="auto"/>
        </w:rPr>
        <w:t xml:space="preserve">Net Income (Loss) and Net Income (Loss) Per Share. </w:t>
      </w:r>
      <w:r>
        <w:rPr>
          <w:rFonts w:ascii="Arial" w:cs="Arial" w:eastAsia="Arial" w:hAnsi="Arial"/>
          <w:sz w:val="17"/>
          <w:szCs w:val="17"/>
          <w:color w:val="auto"/>
        </w:rPr>
        <w:t>Our net income for the second quarter of 2023 was $2.0 million, or $.06 per share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on a diluted basis and $.05 per share of Class B common stock, compared to a net loss of $8.2 million, or $.26 per share of Class A common stock and $.24 per share of Class B common stock, for the second quarter of 2022. We had 27.5 million and 26.6 million Class A shares outstanding at June 30, 2023 and 2022, respectively. We had 5.6 million Class B shares outstanding at the end of both periods.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 Six Months Ended June 30, 2023 Compared to Six Months Ended June 30, 2022</w:t>
      </w:r>
    </w:p>
    <w:p>
      <w:pPr>
        <w:spacing w:after="0" w:line="229" w:lineRule="exact"/>
        <w:rPr>
          <w:sz w:val="20"/>
          <w:szCs w:val="20"/>
          <w:color w:val="auto"/>
        </w:rPr>
      </w:pPr>
    </w:p>
    <w:p>
      <w:pPr>
        <w:ind w:right="140" w:firstLine="446"/>
        <w:spacing w:after="0" w:line="308" w:lineRule="auto"/>
        <w:rPr>
          <w:sz w:val="20"/>
          <w:szCs w:val="20"/>
          <w:color w:val="auto"/>
        </w:rPr>
      </w:pPr>
      <w:r>
        <w:rPr>
          <w:rFonts w:ascii="Arial" w:cs="Arial" w:eastAsia="Arial" w:hAnsi="Arial"/>
          <w:sz w:val="17"/>
          <w:szCs w:val="17"/>
          <w:i w:val="1"/>
          <w:iCs w:val="1"/>
          <w:color w:val="auto"/>
        </w:rPr>
        <w:t xml:space="preserve">Net Premiums Earned. </w:t>
      </w:r>
      <w:r>
        <w:rPr>
          <w:rFonts w:ascii="Arial" w:cs="Arial" w:eastAsia="Arial" w:hAnsi="Arial"/>
          <w:sz w:val="17"/>
          <w:szCs w:val="17"/>
          <w:color w:val="auto"/>
        </w:rPr>
        <w:t>Our insurance subsidiaries’ net premiums earned for the first half of 2023 were $431.5 million, an increase of $28.1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7.0%, compared to $403.4 million for the first half of 2022, primarily reflecting solid premium retention and renewal premium increases.</w:t>
      </w:r>
    </w:p>
    <w:p>
      <w:pPr>
        <w:spacing w:after="0" w:line="146" w:lineRule="exact"/>
        <w:rPr>
          <w:sz w:val="20"/>
          <w:szCs w:val="20"/>
          <w:color w:val="auto"/>
        </w:rPr>
      </w:pPr>
    </w:p>
    <w:p>
      <w:pPr>
        <w:ind w:right="120" w:firstLine="446"/>
        <w:spacing w:after="0" w:line="291" w:lineRule="auto"/>
        <w:rPr>
          <w:sz w:val="20"/>
          <w:szCs w:val="20"/>
          <w:color w:val="auto"/>
        </w:rPr>
      </w:pPr>
      <w:r>
        <w:rPr>
          <w:rFonts w:ascii="Arial" w:cs="Arial" w:eastAsia="Arial" w:hAnsi="Arial"/>
          <w:sz w:val="16"/>
          <w:szCs w:val="16"/>
          <w:i w:val="1"/>
          <w:iCs w:val="1"/>
          <w:color w:val="auto"/>
        </w:rPr>
        <w:t xml:space="preserve">Net Premiums Written. </w:t>
      </w:r>
      <w:r>
        <w:rPr>
          <w:rFonts w:ascii="Arial" w:cs="Arial" w:eastAsia="Arial" w:hAnsi="Arial"/>
          <w:sz w:val="16"/>
          <w:szCs w:val="16"/>
          <w:color w:val="auto"/>
        </w:rPr>
        <w:t>Our insurance subsidiaries’ net premiums written for the first half of 2023 were $463.8 million, an increase of $26.9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6.2%, from the $436.9 million of net premiums written for the first half of 2022. Commercial lines net premiums written increased $1.8 million, or</w:t>
      </w:r>
    </w:p>
    <w:p>
      <w:pPr>
        <w:ind w:right="60"/>
        <w:spacing w:after="0" w:line="292" w:lineRule="auto"/>
        <w:rPr>
          <w:sz w:val="20"/>
          <w:szCs w:val="20"/>
          <w:color w:val="auto"/>
        </w:rPr>
      </w:pPr>
      <w:r>
        <w:rPr>
          <w:rFonts w:ascii="Arial" w:cs="Arial" w:eastAsia="Arial" w:hAnsi="Arial"/>
          <w:sz w:val="16"/>
          <w:szCs w:val="16"/>
          <w:color w:val="auto"/>
        </w:rPr>
        <w:t>0.6%, for the first half of 2023 compared to the first half of 2022. Personal lines net premiums written increased $25.1 million, or 16.1%, for the first half of 2023 compared to the first half of 2022. We attribute the increase in commercial lines net premiums written primarily to strong premium retention and a continuation of renewal premium increases in lines other than workers’ compensation, offset partially by planned attrition in states we are exiting or have targeted for profit improvement, lower new business writings and reinsurance reinstatement premiums on our property excess of loss reinsurance program. We attribute the increase in personal lines net premiums written primarily to renewal premium increases and strong premium retention.</w:t>
      </w:r>
    </w:p>
    <w:p>
      <w:pPr>
        <w:spacing w:after="0" w:line="162" w:lineRule="exact"/>
        <w:rPr>
          <w:sz w:val="20"/>
          <w:szCs w:val="20"/>
          <w:color w:val="auto"/>
        </w:rPr>
      </w:pPr>
    </w:p>
    <w:p>
      <w:pPr>
        <w:ind w:right="60" w:firstLine="446"/>
        <w:spacing w:after="0" w:line="342" w:lineRule="auto"/>
        <w:rPr>
          <w:sz w:val="20"/>
          <w:szCs w:val="20"/>
          <w:color w:val="auto"/>
        </w:rPr>
      </w:pPr>
      <w:r>
        <w:rPr>
          <w:rFonts w:ascii="Arial" w:cs="Arial" w:eastAsia="Arial" w:hAnsi="Arial"/>
          <w:sz w:val="16"/>
          <w:szCs w:val="16"/>
          <w:i w:val="1"/>
          <w:iCs w:val="1"/>
          <w:color w:val="auto"/>
        </w:rPr>
        <w:t xml:space="preserve">Investment Income. </w:t>
      </w:r>
      <w:r>
        <w:rPr>
          <w:rFonts w:ascii="Arial" w:cs="Arial" w:eastAsia="Arial" w:hAnsi="Arial"/>
          <w:sz w:val="16"/>
          <w:szCs w:val="16"/>
          <w:color w:val="auto"/>
        </w:rPr>
        <w:t>Our net investment income was $19.6 million for the first half of 2023, an increase of $3.5 million, or 22.1%, compared to $16.1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first half of 2022. We attribute the increase primarily to an increase in the average investment yield relative to the first half of 2022.</w:t>
      </w:r>
    </w:p>
    <w:p>
      <w:pPr>
        <w:spacing w:after="0" w:line="124"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i w:val="1"/>
          <w:iCs w:val="1"/>
          <w:color w:val="auto"/>
        </w:rPr>
        <w:t xml:space="preserve">Net Investment Gains (Losses). </w:t>
      </w:r>
      <w:r>
        <w:rPr>
          <w:rFonts w:ascii="Arial" w:cs="Arial" w:eastAsia="Arial" w:hAnsi="Arial"/>
          <w:sz w:val="18"/>
          <w:szCs w:val="18"/>
          <w:color w:val="auto"/>
        </w:rPr>
        <w:t>Net investment gains for the first half of 2023 were $2.2 million, compared to net investment losses of $8.5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 half of 2022. The net investment gains and losses for the first half of 2023 and 2022, respectively, resulted primarily from the net change in unrealized gains and losses within our equity securities portfolio at June 30, 2023 and 2022, respectively. We did not recognize any impairment losses for individual securities in our investment portfolio during the first half of 2023 or 2022.</w:t>
      </w:r>
    </w:p>
    <w:p>
      <w:pPr>
        <w:spacing w:after="0" w:line="187"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i w:val="1"/>
          <w:iCs w:val="1"/>
          <w:color w:val="auto"/>
        </w:rPr>
        <w:t xml:space="preserve">Losses and Loss Expenses. </w:t>
      </w:r>
      <w:r>
        <w:rPr>
          <w:rFonts w:ascii="Arial" w:cs="Arial" w:eastAsia="Arial" w:hAnsi="Arial"/>
          <w:sz w:val="17"/>
          <w:szCs w:val="17"/>
          <w:color w:val="auto"/>
        </w:rPr>
        <w:t>Our insurance subsidiaries’ loss ratio, which is the ratio of incurred losses and loss expenses to premiums earned, was</w:t>
      </w:r>
      <w:r>
        <w:rPr>
          <w:rFonts w:ascii="Arial" w:cs="Arial" w:eastAsia="Arial" w:hAnsi="Arial"/>
          <w:sz w:val="17"/>
          <w:szCs w:val="17"/>
          <w:i w:val="1"/>
          <w:iCs w:val="1"/>
          <w:color w:val="auto"/>
        </w:rPr>
        <w:t xml:space="preserve"> </w:t>
      </w:r>
      <w:r>
        <w:rPr>
          <w:rFonts w:ascii="Arial" w:cs="Arial" w:eastAsia="Arial" w:hAnsi="Arial"/>
          <w:sz w:val="17"/>
          <w:szCs w:val="17"/>
          <w:color w:val="auto"/>
        </w:rPr>
        <w:t>67.1% for the first half of 2023, an increase from our insurance subsidiaries’ loss ratio of 64.3% for the first half of 2022. We attribute this increase primarily to increased weather-related losses and a decreased benefit of net favorable development of reserves for losses incurred in prior accident years. Loss ratios for both periods for the automobile and property lines of business reflected the impact of higher costs of labor, parts and materials. Weather-related losses of $33.8 million, or 7.8 percentage points of the loss ratio, for the first half of 2023, increased from $27.5 million, or 6.8 percentage points of the loss ratio, for the first half of 2022. The impact of weather-related loss activity to the loss ratio for the first half of 2023 was higher than our previous five-year average of 6.8 percentage points for first half weather-related losses. Large fire losses for the first half of 2023 were $23.6 million, or 5.5 percentage points of the loss ratio, compared to $23.0 million, or 5.7 percentage points of the loss ratio, for the first half of 2022. On a statutory basis, our insurance subsidiaries’ commercial lines loss ratio was 65.5% for the first half of 2023, compared to 61.6% for the first half of 2022, primarily due to increases in the commercial automobile, workers’ compensation and commercial multi-peril loss ratios. The personal lines statutory loss ratio of our insurance subsidiaries increased to 70.0% for the first half of 2023, compared to 69.2% for the first half of 2022. We attribute this increase primarily to an increase in the personal automobile loss ratio. Our insurance subsidiaries experienced favorable loss reserve development for the first half of 2023 of approximately $8.5 million that decreased the loss ratio by 2.0 percentage points, compared to $24.4 million that decreased the loss ratio for the first half of 2022 by 6.1 percentage points. Our insurance subsidiaries experienced favorable development primarily in the commercial automobile, workers’ compensation and homeowners lines of business for the first half of 2023, with the majority of the impact relating to reserves for accident years 2021 and 2020.</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40" w:firstLine="446"/>
        <w:spacing w:after="0" w:line="259" w:lineRule="auto"/>
        <w:rPr>
          <w:sz w:val="20"/>
          <w:szCs w:val="20"/>
          <w:color w:val="auto"/>
        </w:rPr>
      </w:pPr>
      <w:r>
        <w:rPr>
          <w:rFonts w:ascii="Arial" w:cs="Arial" w:eastAsia="Arial" w:hAnsi="Arial"/>
          <w:sz w:val="18"/>
          <w:szCs w:val="18"/>
          <w:i w:val="1"/>
          <w:iCs w:val="1"/>
          <w:color w:val="auto"/>
        </w:rPr>
        <w:t xml:space="preserve">Underwriting Expenses. </w:t>
      </w:r>
      <w:r>
        <w:rPr>
          <w:rFonts w:ascii="Arial" w:cs="Arial" w:eastAsia="Arial" w:hAnsi="Arial"/>
          <w:sz w:val="18"/>
          <w:szCs w:val="18"/>
          <w:color w:val="auto"/>
        </w:rPr>
        <w:t>The expense ratio for an insurance company is the ratio of policy acquisition costs and other underwriting expenses to</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earned. The expense ratio of our insurance subsidiaries was 35.3% for the first half of 2023, compared to 35.4% for the first half of 2022. The modest decrease in the expense ratio primarily reflected lower underwriting-based incentive costs for our agents and employees for the first half of 2023 compared to the first half of 2022.</w:t>
      </w:r>
    </w:p>
    <w:p>
      <w:pPr>
        <w:spacing w:after="0" w:line="187"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i w:val="1"/>
          <w:iCs w:val="1"/>
          <w:color w:val="auto"/>
        </w:rPr>
        <w:t xml:space="preserve">Combined Ratio. </w:t>
      </w:r>
      <w:r>
        <w:rPr>
          <w:rFonts w:ascii="Arial" w:cs="Arial" w:eastAsia="Arial" w:hAnsi="Arial"/>
          <w:sz w:val="18"/>
          <w:szCs w:val="18"/>
          <w:color w:val="auto"/>
        </w:rPr>
        <w:t>The combined ratio represents the sum of the loss ratio, the expense ratio and the dividend ratio, which is the ratio of policyholder</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incurred to premiums earned. Our insurance subsidiaries’ combined ratios were 103.0% and 100.4% for the first half of 2023 and 2022, respectively. We attribute the increase in the combined ratio primarily to an increase in the loss ratio for the first half of 2023 compared to the first half of 2022.</w:t>
      </w:r>
    </w:p>
    <w:p>
      <w:pPr>
        <w:spacing w:after="0" w:line="187" w:lineRule="exact"/>
        <w:rPr>
          <w:sz w:val="20"/>
          <w:szCs w:val="20"/>
          <w:color w:val="auto"/>
        </w:rPr>
      </w:pPr>
    </w:p>
    <w:p>
      <w:pPr>
        <w:ind w:right="280" w:firstLine="446"/>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income tax expense of $1.3 million and $709,888 for the first half of 2023 and 2022, respectively,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rates of 15.8% and 12.5%, respectively. The income tax expense for the first half of 2023 and 2022 represented estimates based on our projected annual taxable income and effective tax rates.</w:t>
      </w:r>
    </w:p>
    <w:p>
      <w:pPr>
        <w:spacing w:after="0" w:line="184"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i w:val="1"/>
          <w:iCs w:val="1"/>
          <w:color w:val="auto"/>
        </w:rPr>
        <w:t xml:space="preserve">Net Income and Net Income Per Share. </w:t>
      </w:r>
      <w:r>
        <w:rPr>
          <w:rFonts w:ascii="Arial" w:cs="Arial" w:eastAsia="Arial" w:hAnsi="Arial"/>
          <w:sz w:val="18"/>
          <w:szCs w:val="18"/>
          <w:color w:val="auto"/>
        </w:rPr>
        <w:t>Our net income for the first half of 2023 was $7.2 million, or $.22 per share of Class A common stock on a</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basis and $.20 per share of Class B common stock, compared to $4.9 million, or $.16 per share of Class A common stock on a diluted basis and $.14 per share of Class B common stock, for the first half of 2022. We had 27.5 million and 26.6 million Class A shares outstanding at June 30, 2023 and 2022, respectively. We had 5.6 million Class B shares outstanding at the end of both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60" w:firstLine="446"/>
        <w:spacing w:after="0" w:line="263" w:lineRule="auto"/>
        <w:rPr>
          <w:sz w:val="20"/>
          <w:szCs w:val="20"/>
          <w:color w:val="auto"/>
        </w:rPr>
      </w:pPr>
      <w:r>
        <w:rPr>
          <w:rFonts w:ascii="Arial" w:cs="Arial" w:eastAsia="Arial" w:hAnsi="Arial"/>
          <w:sz w:val="18"/>
          <w:szCs w:val="18"/>
          <w:color w:val="auto"/>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investment maturities.</w:t>
      </w:r>
    </w:p>
    <w:p>
      <w:pPr>
        <w:spacing w:after="0" w:line="184" w:lineRule="exact"/>
        <w:rPr>
          <w:sz w:val="20"/>
          <w:szCs w:val="20"/>
          <w:color w:val="auto"/>
        </w:rPr>
      </w:pPr>
    </w:p>
    <w:p>
      <w:pPr>
        <w:ind w:right="60" w:firstLine="446"/>
        <w:spacing w:after="0" w:line="269" w:lineRule="auto"/>
        <w:rPr>
          <w:sz w:val="20"/>
          <w:szCs w:val="20"/>
          <w:color w:val="auto"/>
        </w:rPr>
      </w:pPr>
      <w:r>
        <w:rPr>
          <w:rFonts w:ascii="Arial" w:cs="Arial" w:eastAsia="Arial" w:hAnsi="Arial"/>
          <w:sz w:val="17"/>
          <w:szCs w:val="17"/>
          <w:color w:val="auto"/>
        </w:rPr>
        <w:t>Our operations have historically generated sufficient net positive cash flow to fund our commitments and add to our investment portfolio, thereby increasing future investment returns and enhancing our liquidity. The impact of the pooling agreement between Donegal Mutual and Atlantic States has historically been cash-flow positive because of the consistent underwriting profitability of the pool. Donegal Mutual and Atlantic States settle their respective obligations to each other under the pool monthly, thereby resulting in cash flows substantially similar to the cash flows that would result from each company writing the business directly. We have not experienced any unusual variations in the timing of claim payments associated with the loss reserves of our insurance subsidiaries. We maintain significant liquidity in our investment portfolio in the form of readily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thereby providing an additional measure of liquidity to meet our obligations should an unexpected variation occur in the future. Our operating activities provided net cash flows in the first half of 2023 and 2022 of $13.1 million and $35.0 million, respectively.</w:t>
      </w:r>
    </w:p>
    <w:p>
      <w:pPr>
        <w:spacing w:after="0" w:line="185" w:lineRule="exact"/>
        <w:rPr>
          <w:sz w:val="20"/>
          <w:szCs w:val="20"/>
          <w:color w:val="auto"/>
        </w:rPr>
      </w:pPr>
    </w:p>
    <w:p>
      <w:pPr>
        <w:jc w:val="both"/>
        <w:ind w:right="440" w:firstLine="446"/>
        <w:spacing w:after="0" w:line="263" w:lineRule="auto"/>
        <w:rPr>
          <w:sz w:val="20"/>
          <w:szCs w:val="20"/>
          <w:color w:val="auto"/>
        </w:rPr>
      </w:pPr>
      <w:r>
        <w:rPr>
          <w:rFonts w:ascii="Arial" w:cs="Arial" w:eastAsia="Arial" w:hAnsi="Arial"/>
          <w:sz w:val="18"/>
          <w:szCs w:val="18"/>
          <w:color w:val="auto"/>
        </w:rPr>
        <w:t>At June 30, 2023, we had no outstanding borrowings under our line of credit with M&amp;T and had the ability to borrow up to $20.0 million at an interest rate equal to the then-current Term SOFR rate plus 2.11%. At June 30, 2023, Atlantic States had a $35.0 million outstanding advance with the FHLB of Pittsburgh that carries a fixed interest rate of 1.74%.</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We estimate the timing of claim payments associated with the liabilities for losses and loss expenses of our insurance subsidiaries based on historical experience and expectations of future payment patterns. We show these liabilities net of reinsurance recoverable on unpaid losses and loss expenses to reflect expected future cash flows related to such liabilities.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181"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We discuss in Note 7 – Borrowings our estimate of the timing of the amounts payable for the borrowings under our lines of credit based on their contractual maturities.</w:t>
      </w:r>
    </w:p>
    <w:p>
      <w:pPr>
        <w:spacing w:after="0" w:line="170"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 and in privately negotiated transactions. We did not purchase any shares of our Class A common stock under this program during the six months ended June 30, 2023 or 2022. We have purchased a total of 57,658 shares of our Class A common stock under this program from its inception through June 30, 2023.</w:t>
      </w:r>
    </w:p>
    <w:p>
      <w:pPr>
        <w:spacing w:after="0" w:line="157"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On July 20, 2023, our board of directors declared quarterly cash dividends of $.17 per share of our Class A common stock and $.1525 per share of our Class B common stock, payable on August 15, 2023 to our stockholders of record as of the close of business on August 1, 2023. We are not subject to any restrictions on our payment of dividends to our stockholders, although there are state law restrictions on the payment of dividends by our insurance subsidiaries to us. Dividends from our insurance subsidiaries are our principal source of cash for payment of dividends to our stockholders. Our insurance subsidiaries are subject to regulations that restrict the payment of dividends from statutory surplus and may require prior approval of their domiciliary insurance regulatory authorities. Our insurance subsidiaries are also subject to risk based capital (“RBC”) requirements that limit their ability to pay dividends to us. Our insurance subsidiaries’ statutory capital and surplus at December 31, 2022 exceeded the amount of statutory capital and surplus necessary to satisfy regulatory requirements, including the RBC requirements, by a significant margin. Our insurance subsidiaries did not pay any dividends to us during the first six months of 2023. Amounts remaining available for distribution to us as dividends from our insurance subsidiaries without prior approval of their domiciliary insurance regulatory authorities in 2023 are $26.4 million from Atlantic States, $6.5 million from Southern, $6.0 million from Peninsula and $7.5 million from MICO, or a total of approximately $46.4 million.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2023, we had no material commitments for capital expenditures.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29" w:lineRule="exact"/>
        <w:rPr>
          <w:sz w:val="20"/>
          <w:szCs w:val="20"/>
          <w:color w:val="auto"/>
        </w:rPr>
      </w:pPr>
    </w:p>
    <w:p>
      <w:pPr>
        <w:jc w:val="both"/>
        <w:ind w:right="180" w:firstLine="446"/>
        <w:spacing w:after="0" w:line="263" w:lineRule="auto"/>
        <w:rPr>
          <w:sz w:val="20"/>
          <w:szCs w:val="20"/>
          <w:color w:val="auto"/>
        </w:rPr>
      </w:pPr>
      <w:r>
        <w:rPr>
          <w:rFonts w:ascii="Arial" w:cs="Arial" w:eastAsia="Arial" w:hAnsi="Arial"/>
          <w:sz w:val="18"/>
          <w:szCs w:val="18"/>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20" w:firstLine="446"/>
        <w:spacing w:after="0" w:line="263" w:lineRule="auto"/>
        <w:rPr>
          <w:sz w:val="20"/>
          <w:szCs w:val="20"/>
          <w:color w:val="auto"/>
        </w:rPr>
      </w:pPr>
      <w:r>
        <w:rPr>
          <w:rFonts w:ascii="Arial" w:cs="Arial" w:eastAsia="Arial" w:hAnsi="Arial"/>
          <w:sz w:val="18"/>
          <w:szCs w:val="18"/>
          <w:color w:val="auto"/>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spacing w:after="0" w:line="184"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There have been no material changes to our quantitative or qualitative market risk exposure from December 31, 2022 through June 30, 2023.</w:t>
      </w:r>
    </w:p>
    <w:p>
      <w:pPr>
        <w:spacing w:after="0" w:line="2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June 30, 2023,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Donegal Mutual implemented a new application system that Donegal Mutual and our insurance subsidiaries began to utilize during 2021 for the allocation of expenses and, beginning in 2022, for reinsurance premiums and commissions. Donegal Mutual and our insurance subsidiaries expanded the utilization of this application system in 2023 to include the preparation of financial statements based on SAP state insurance regulators prescribe or permit. The SAP financial statements of our insurance subsidiaries serve as the starting point for our financial statements prepared using GAAP. The new application system provides for further automation of, and enhanced internal controls over, these processes. The implementation of the new system is part of a multi-year accounting systems and process modernization initiative Donegal Mutual is implementing to achieve various benefits for Donegal Mutual and our insurance subsidiaries, including streamlined financial reporting workflows and a more efficient control environment.</w:t>
      </w:r>
    </w:p>
    <w:p>
      <w:pPr>
        <w:spacing w:after="0" w:line="16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Such changes resulted in changes to procedures related to our financial reporting. Prior to the implementation of the new systems, we identified and designed new internal controls that we incorporated into our internal controls over financial reporting. Following the implementation, we validated these new controls according to our established processes. We did not implement these changes in internal controls to respond to any actual or perceived significant deficiencies in our internal control over financial reporting.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29" w:lineRule="exact"/>
        <w:rPr>
          <w:sz w:val="20"/>
          <w:szCs w:val="20"/>
          <w:color w:val="auto"/>
        </w:rPr>
      </w:pPr>
    </w:p>
    <w:p>
      <w:pPr>
        <w:ind w:firstLine="446"/>
        <w:spacing w:after="0" w:line="285" w:lineRule="auto"/>
        <w:rPr>
          <w:sz w:val="20"/>
          <w:szCs w:val="20"/>
          <w:color w:val="auto"/>
        </w:rPr>
      </w:pPr>
      <w:r>
        <w:rPr>
          <w:rFonts w:ascii="Arial" w:cs="Arial" w:eastAsia="Arial" w:hAnsi="Arial"/>
          <w:sz w:val="16"/>
          <w:szCs w:val="16"/>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trends that could increase our loss costs (including labor shortages and escalating medical, automobile and property repair costs), adverse and catastrophic weather events (including from changing climate conditions), our ability to maintain profitable operations (including our ability to underwrite risks effectively and charge adequate premium rates), prolonged economic challenges resulting from the COVID-19 pandemic, the adequacy of the loss and loss expense reserves of our insurance subsidiaries, the availability and successful operation of the information technology systems our insurance subsidiaries utilize, the successful development of new information technology systems to allow our insurance subsidiaries to compete effectively, business and economic conditions in the areas in which we and our insurance subsidiaries operate, interest rates, competition from various insurance and other financial businesses, terrorism, the availability and cost of reinsurance, legal and judicial developments (including those related to COVID-19 business interruption coverage exclusions), changes in regulatory requirements, our ability to attract and retain independent insurance agents,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Our business, results of operations and financial condition, and, therefore, the value of our Class A common stock and our Class B common stock, are subject to a number of risks. For a description of certain risks, we refer to “Risk Factors” in our 2022 Annual Report on Form 10-K that we filed with the SEC on March 6, 2023. There have been no material changes in the risk factors we disclosed in that Form 10-K Report during the six months ended June 30, 2023.</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2240" w:type="dxa"/>
            <w:vAlign w:val="bottom"/>
            <w:gridSpan w:val="3"/>
          </w:tcPr>
          <w:p>
            <w:pPr>
              <w:spacing w:after="0"/>
              <w:rPr>
                <w:sz w:val="20"/>
                <w:szCs w:val="20"/>
                <w:color w:val="auto"/>
              </w:rPr>
            </w:pPr>
            <w:r>
              <w:rPr>
                <w:rFonts w:ascii="Arial" w:cs="Arial" w:eastAsia="Arial" w:hAnsi="Arial"/>
                <w:sz w:val="14"/>
                <w:szCs w:val="14"/>
                <w:i w:val="1"/>
                <w:iCs w:val="1"/>
                <w:color w:val="0000EE"/>
              </w:rPr>
              <w:t>Index</w:t>
            </w:r>
          </w:p>
        </w:tc>
        <w:tc>
          <w:tcPr>
            <w:tcW w:w="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780" w:type="dxa"/>
            <w:vAlign w:val="bottom"/>
            <w:gridSpan w:val="7"/>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(d) Maximum Number (or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2"/>
              </w:rPr>
              <w:t>(c) Total Number of</w:t>
            </w:r>
          </w:p>
        </w:tc>
        <w:tc>
          <w:tcPr>
            <w:tcW w:w="1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(or Units)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(a) Total Number of</w:t>
            </w: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1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(b) Average Price Paid per</w:t>
            </w:r>
          </w:p>
        </w:tc>
        <w:tc>
          <w:tcPr>
            <w:tcW w:w="1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1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41"/>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Period</w:t>
            </w:r>
          </w:p>
        </w:tc>
        <w:tc>
          <w:tcPr>
            <w:tcW w:w="14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4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Share (or Unit)</w:t>
            </w:r>
          </w:p>
        </w:tc>
        <w:tc>
          <w:tcPr>
            <w:tcW w:w="16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4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02"/>
        </w:trPr>
        <w:tc>
          <w:tcPr>
            <w:tcW w:w="2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Month #1</w:t>
            </w:r>
          </w:p>
        </w:tc>
        <w:tc>
          <w:tcPr>
            <w:tcW w:w="14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Class A – None</w:t>
            </w:r>
          </w:p>
        </w:tc>
        <w:tc>
          <w:tcPr>
            <w:tcW w:w="14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Class A – None</w:t>
            </w: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Class A – None</w:t>
            </w: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1-30, 2023</w:t>
            </w:r>
          </w:p>
        </w:tc>
        <w:tc>
          <w:tcPr>
            <w:tcW w:w="140" w:type="dxa"/>
            <w:vAlign w:val="bottom"/>
            <w:shd w:val="clear" w:color="auto" w:fill="CCEEFF"/>
          </w:tcPr>
          <w:p>
            <w:pPr>
              <w:spacing w:after="0"/>
              <w:rPr>
                <w:sz w:val="20"/>
                <w:szCs w:val="20"/>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Class B – None</w:t>
            </w:r>
          </w:p>
        </w:tc>
        <w:tc>
          <w:tcPr>
            <w:tcW w:w="140" w:type="dxa"/>
            <w:vAlign w:val="bottom"/>
            <w:shd w:val="clear" w:color="auto" w:fill="CCEEFF"/>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Class B – None</w:t>
            </w:r>
          </w:p>
        </w:tc>
        <w:tc>
          <w:tcPr>
            <w:tcW w:w="160" w:type="dxa"/>
            <w:vAlign w:val="bottom"/>
            <w:shd w:val="clear" w:color="auto" w:fill="CCEEFF"/>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Class B – None</w:t>
            </w:r>
          </w:p>
        </w:tc>
        <w:tc>
          <w:tcPr>
            <w:tcW w:w="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Month #2</w:t>
            </w:r>
          </w:p>
        </w:tc>
        <w:tc>
          <w:tcPr>
            <w:tcW w:w="14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Class A – 46,000</w:t>
            </w:r>
          </w:p>
        </w:tc>
        <w:tc>
          <w:tcPr>
            <w:tcW w:w="14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Class A – $14.70</w:t>
            </w: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Class A – 46,000</w:t>
            </w:r>
          </w:p>
        </w:tc>
        <w:tc>
          <w:tcPr>
            <w:tcW w:w="2180" w:type="dxa"/>
            <w:vAlign w:val="bottom"/>
            <w:gridSpan w:val="2"/>
            <w:vMerge w:val="restart"/>
            <w:shd w:val="clear" w:color="auto" w:fill="CCEEFF"/>
          </w:tcPr>
          <w:p>
            <w:pPr>
              <w:jc w:val="center"/>
              <w:ind w:left="50"/>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22"/>
        </w:trPr>
        <w:tc>
          <w:tcPr>
            <w:tcW w:w="22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May 1-31, 2023</w:t>
            </w:r>
          </w:p>
        </w:tc>
        <w:tc>
          <w:tcPr>
            <w:tcW w:w="140" w:type="dxa"/>
            <w:vAlign w:val="bottom"/>
            <w:shd w:val="clear" w:color="auto" w:fill="CCEEFF"/>
          </w:tcPr>
          <w:p>
            <w:pPr>
              <w:spacing w:after="0"/>
              <w:rPr>
                <w:sz w:val="10"/>
                <w:szCs w:val="10"/>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Class B – None</w:t>
            </w:r>
          </w:p>
        </w:tc>
        <w:tc>
          <w:tcPr>
            <w:tcW w:w="140" w:type="dxa"/>
            <w:vAlign w:val="bottom"/>
            <w:shd w:val="clear" w:color="auto" w:fill="CCEEFF"/>
          </w:tcPr>
          <w:p>
            <w:pPr>
              <w:spacing w:after="0"/>
              <w:rPr>
                <w:sz w:val="10"/>
                <w:szCs w:val="10"/>
                <w:color w:val="auto"/>
              </w:rPr>
            </w:pP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Class B – None</w:t>
            </w:r>
          </w:p>
        </w:tc>
        <w:tc>
          <w:tcPr>
            <w:tcW w:w="160" w:type="dxa"/>
            <w:vAlign w:val="bottom"/>
            <w:shd w:val="clear" w:color="auto" w:fill="CCEEFF"/>
          </w:tcPr>
          <w:p>
            <w:pPr>
              <w:spacing w:after="0"/>
              <w:rPr>
                <w:sz w:val="10"/>
                <w:szCs w:val="10"/>
                <w:color w:val="auto"/>
              </w:rPr>
            </w:pP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Class B – None</w:t>
            </w:r>
          </w:p>
        </w:tc>
        <w:tc>
          <w:tcPr>
            <w:tcW w:w="21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gridSpan w:val="3"/>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1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Month #3</w:t>
            </w:r>
          </w:p>
        </w:tc>
        <w:tc>
          <w:tcPr>
            <w:tcW w:w="14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Class A – 177,058</w:t>
            </w:r>
          </w:p>
        </w:tc>
        <w:tc>
          <w:tcPr>
            <w:tcW w:w="14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Class A – $15.51</w:t>
            </w: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Class A – 177,058</w:t>
            </w:r>
          </w:p>
        </w:tc>
        <w:tc>
          <w:tcPr>
            <w:tcW w:w="2180" w:type="dxa"/>
            <w:vAlign w:val="bottom"/>
            <w:gridSpan w:val="2"/>
            <w:vMerge w:val="restart"/>
            <w:shd w:val="clear" w:color="auto" w:fill="CCEEFF"/>
          </w:tcPr>
          <w:p>
            <w:pPr>
              <w:jc w:val="center"/>
              <w:ind w:left="50"/>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22"/>
        </w:trPr>
        <w:tc>
          <w:tcPr>
            <w:tcW w:w="22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June 1-30, 2023</w:t>
            </w:r>
          </w:p>
        </w:tc>
        <w:tc>
          <w:tcPr>
            <w:tcW w:w="140" w:type="dxa"/>
            <w:vAlign w:val="bottom"/>
            <w:shd w:val="clear" w:color="auto" w:fill="CCEEFF"/>
          </w:tcPr>
          <w:p>
            <w:pPr>
              <w:spacing w:after="0"/>
              <w:rPr>
                <w:sz w:val="10"/>
                <w:szCs w:val="10"/>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Class B – None</w:t>
            </w:r>
          </w:p>
        </w:tc>
        <w:tc>
          <w:tcPr>
            <w:tcW w:w="140" w:type="dxa"/>
            <w:vAlign w:val="bottom"/>
            <w:shd w:val="clear" w:color="auto" w:fill="CCEEFF"/>
          </w:tcPr>
          <w:p>
            <w:pPr>
              <w:spacing w:after="0"/>
              <w:rPr>
                <w:sz w:val="10"/>
                <w:szCs w:val="10"/>
                <w:color w:val="auto"/>
              </w:rPr>
            </w:pP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Class B – None</w:t>
            </w:r>
          </w:p>
        </w:tc>
        <w:tc>
          <w:tcPr>
            <w:tcW w:w="160" w:type="dxa"/>
            <w:vAlign w:val="bottom"/>
            <w:shd w:val="clear" w:color="auto" w:fill="CCEEFF"/>
          </w:tcPr>
          <w:p>
            <w:pPr>
              <w:spacing w:after="0"/>
              <w:rPr>
                <w:sz w:val="10"/>
                <w:szCs w:val="10"/>
                <w:color w:val="auto"/>
              </w:rPr>
            </w:pP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Class B – None</w:t>
            </w:r>
          </w:p>
        </w:tc>
        <w:tc>
          <w:tcPr>
            <w:tcW w:w="21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gridSpan w:val="3"/>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1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Class A – 223,058</w:t>
            </w:r>
          </w:p>
        </w:tc>
        <w:tc>
          <w:tcPr>
            <w:tcW w:w="14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Class A – $15.34</w:t>
            </w: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Class A – 223,058</w:t>
            </w: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Class B – None</w:t>
            </w:r>
          </w:p>
        </w:tc>
        <w:tc>
          <w:tcPr>
            <w:tcW w:w="140" w:type="dxa"/>
            <w:vAlign w:val="bottom"/>
            <w:shd w:val="clear" w:color="auto" w:fill="CCEEFF"/>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Class B – None</w:t>
            </w:r>
          </w:p>
        </w:tc>
        <w:tc>
          <w:tcPr>
            <w:tcW w:w="160" w:type="dxa"/>
            <w:vAlign w:val="bottom"/>
            <w:shd w:val="clear" w:color="auto" w:fill="CCEEFF"/>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Class B – None</w:t>
            </w:r>
          </w:p>
        </w:tc>
        <w:tc>
          <w:tcPr>
            <w:tcW w:w="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right="140" w:hanging="492"/>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Donegal Mutual purchased these shares pursuant to its announcement on April 29, 2022 that it will, at its discretion, purchase shares of our Class A common stock and Class B common stock at market prices prevailing from time to time in the open market subject to the provisions of SEC Rule 10b-18 and in privately negotiated transactions. Such announcement did not stipulate a maximum number of shares that may be purchased under this program.</w:t>
      </w:r>
    </w:p>
    <w:p>
      <w:pPr>
        <w:spacing w:after="0" w:line="3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360" w:type="dxa"/>
            <w:vAlign w:val="bottom"/>
            <w:gridSpan w:val="6"/>
          </w:tcPr>
          <w:p>
            <w:pPr>
              <w:spacing w:after="0"/>
              <w:rPr>
                <w:sz w:val="20"/>
                <w:szCs w:val="20"/>
                <w:color w:val="auto"/>
              </w:rPr>
            </w:pPr>
            <w:r>
              <w:rPr>
                <w:rFonts w:ascii="Arial" w:cs="Arial" w:eastAsia="Arial" w:hAnsi="Arial"/>
                <w:sz w:val="14"/>
                <w:szCs w:val="14"/>
                <w:i w:val="1"/>
                <w:iCs w:val="1"/>
                <w:color w:val="0000EE"/>
              </w:rPr>
              <w:t>Index</w:t>
            </w:r>
          </w:p>
        </w:tc>
        <w:tc>
          <w:tcPr>
            <w:tcW w:w="14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1016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1080" w:type="dxa"/>
            <w:vAlign w:val="bottom"/>
          </w:tcPr>
          <w:p>
            <w:pPr>
              <w:spacing w:after="0"/>
              <w:rPr>
                <w:sz w:val="24"/>
                <w:szCs w:val="24"/>
                <w:color w:val="auto"/>
              </w:rPr>
            </w:pPr>
          </w:p>
        </w:tc>
      </w:tr>
      <w:tr>
        <w:trPr>
          <w:trHeight w:val="439"/>
        </w:trPr>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3"/>
              </w:rPr>
              <w:t>Exhibit No.</w:t>
            </w:r>
          </w:p>
        </w:tc>
        <w:tc>
          <w:tcPr>
            <w:tcW w:w="140" w:type="dxa"/>
            <w:vAlign w:val="bottom"/>
          </w:tcPr>
          <w:p>
            <w:pPr>
              <w:spacing w:after="0"/>
              <w:rPr>
                <w:sz w:val="24"/>
                <w:szCs w:val="24"/>
                <w:color w:val="auto"/>
              </w:rPr>
            </w:pPr>
          </w:p>
        </w:tc>
        <w:tc>
          <w:tcPr>
            <w:tcW w:w="866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1120" w:type="dxa"/>
            <w:vAlign w:val="bottom"/>
            <w:gridSpan w:val="5"/>
            <w:shd w:val="clear" w:color="auto" w:fill="CCEEFF"/>
          </w:tcPr>
          <w:p>
            <w:pPr>
              <w:jc w:val="center"/>
              <w:ind w:left="152"/>
              <w:spacing w:after="0" w:line="176" w:lineRule="exact"/>
              <w:rPr>
                <w:sz w:val="20"/>
                <w:szCs w:val="20"/>
                <w:color w:val="auto"/>
              </w:rPr>
            </w:pPr>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Amendment to Discretionary Loan Agreement between Donegal Group Inc. and M&amp;T Bank dated September 24, 2021</w:t>
            </w:r>
          </w:p>
        </w:tc>
        <w:tc>
          <w:tcPr>
            <w:tcW w:w="1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Filed herewith</w:t>
            </w:r>
          </w:p>
        </w:tc>
      </w:tr>
      <w:tr>
        <w:trPr>
          <w:trHeight w:val="237"/>
        </w:trPr>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terms effective as of June 30, 2023 benchmark transition event.</w:t>
            </w:r>
          </w:p>
        </w:tc>
        <w:tc>
          <w:tcPr>
            <w:tcW w:w="1080" w:type="dxa"/>
            <w:vAlign w:val="bottom"/>
            <w:tcBorders>
              <w:top w:val="single" w:sz="8" w:color="CCEEFF"/>
            </w:tcBorders>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24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center"/>
              <w:ind w:right="240"/>
              <w:spacing w:after="0" w:line="176" w:lineRule="exact"/>
              <w:rPr>
                <w:sz w:val="20"/>
                <w:szCs w:val="20"/>
                <w:color w:val="auto"/>
              </w:rPr>
            </w:pPr>
            <w:r>
              <w:rPr>
                <w:rFonts w:ascii="Arial" w:cs="Arial" w:eastAsia="Arial" w:hAnsi="Arial"/>
                <w:sz w:val="18"/>
                <w:szCs w:val="18"/>
                <w:color w:val="0000EE"/>
                <w:w w:val="93"/>
              </w:rPr>
              <w:t>Exhibit 31.1</w:t>
            </w:r>
          </w:p>
        </w:tc>
        <w:tc>
          <w:tcPr>
            <w:tcW w:w="140" w:type="dxa"/>
            <w:vAlign w:val="bottom"/>
            <w:shd w:val="clear" w:color="auto" w:fill="CCEEFF"/>
          </w:tcPr>
          <w:p>
            <w:pPr>
              <w:spacing w:after="0"/>
              <w:rPr>
                <w:sz w:val="17"/>
                <w:szCs w:val="17"/>
                <w:color w:val="auto"/>
              </w:rPr>
            </w:pPr>
          </w:p>
        </w:tc>
        <w:tc>
          <w:tcPr>
            <w:tcW w:w="8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Executive Officer</w:t>
            </w:r>
          </w:p>
        </w:tc>
        <w:tc>
          <w:tcPr>
            <w:tcW w:w="1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24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center"/>
              <w:ind w:right="240"/>
              <w:spacing w:after="0" w:line="176" w:lineRule="exact"/>
              <w:rPr>
                <w:sz w:val="20"/>
                <w:szCs w:val="20"/>
                <w:color w:val="auto"/>
              </w:rPr>
            </w:pPr>
            <w:r>
              <w:rPr>
                <w:rFonts w:ascii="Arial" w:cs="Arial" w:eastAsia="Arial" w:hAnsi="Arial"/>
                <w:sz w:val="18"/>
                <w:szCs w:val="18"/>
                <w:color w:val="0000EE"/>
                <w:w w:val="93"/>
              </w:rPr>
              <w:t>Exhibit 31.2</w:t>
            </w:r>
          </w:p>
        </w:tc>
        <w:tc>
          <w:tcPr>
            <w:tcW w:w="140" w:type="dxa"/>
            <w:vAlign w:val="bottom"/>
            <w:shd w:val="clear" w:color="auto" w:fill="CCEEFF"/>
          </w:tcPr>
          <w:p>
            <w:pPr>
              <w:spacing w:after="0"/>
              <w:rPr>
                <w:sz w:val="17"/>
                <w:szCs w:val="17"/>
                <w:color w:val="auto"/>
              </w:rPr>
            </w:pPr>
          </w:p>
        </w:tc>
        <w:tc>
          <w:tcPr>
            <w:tcW w:w="8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Financial Officer</w:t>
            </w:r>
          </w:p>
        </w:tc>
        <w:tc>
          <w:tcPr>
            <w:tcW w:w="1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24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center"/>
              <w:ind w:right="240"/>
              <w:spacing w:after="0" w:line="176" w:lineRule="exact"/>
              <w:rPr>
                <w:sz w:val="20"/>
                <w:szCs w:val="20"/>
                <w:color w:val="auto"/>
              </w:rPr>
            </w:pPr>
            <w:r>
              <w:rPr>
                <w:rFonts w:ascii="Arial" w:cs="Arial" w:eastAsia="Arial" w:hAnsi="Arial"/>
                <w:sz w:val="18"/>
                <w:szCs w:val="18"/>
                <w:color w:val="0000EE"/>
                <w:w w:val="93"/>
              </w:rPr>
              <w:t>Exhibit 32.1</w:t>
            </w:r>
          </w:p>
        </w:tc>
        <w:tc>
          <w:tcPr>
            <w:tcW w:w="140" w:type="dxa"/>
            <w:vAlign w:val="bottom"/>
            <w:shd w:val="clear" w:color="auto" w:fill="CCEEFF"/>
          </w:tcPr>
          <w:p>
            <w:pPr>
              <w:spacing w:after="0"/>
              <w:rPr>
                <w:sz w:val="17"/>
                <w:szCs w:val="17"/>
                <w:color w:val="auto"/>
              </w:rPr>
            </w:pPr>
          </w:p>
        </w:tc>
        <w:tc>
          <w:tcPr>
            <w:tcW w:w="8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Statement of Chief Executive Officer pursuant to 18 U.S.C. Section 1350 of Title 18 of the United States Code</w:t>
            </w:r>
          </w:p>
        </w:tc>
        <w:tc>
          <w:tcPr>
            <w:tcW w:w="1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24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center"/>
              <w:ind w:right="240"/>
              <w:spacing w:after="0" w:line="176" w:lineRule="exact"/>
              <w:rPr>
                <w:sz w:val="20"/>
                <w:szCs w:val="20"/>
                <w:color w:val="auto"/>
              </w:rPr>
            </w:pPr>
            <w:r>
              <w:rPr>
                <w:rFonts w:ascii="Arial" w:cs="Arial" w:eastAsia="Arial" w:hAnsi="Arial"/>
                <w:sz w:val="18"/>
                <w:szCs w:val="18"/>
                <w:color w:val="0000EE"/>
                <w:w w:val="93"/>
              </w:rPr>
              <w:t>Exhibit 32.2</w:t>
            </w:r>
          </w:p>
        </w:tc>
        <w:tc>
          <w:tcPr>
            <w:tcW w:w="140" w:type="dxa"/>
            <w:vAlign w:val="bottom"/>
            <w:shd w:val="clear" w:color="auto" w:fill="CCEEFF"/>
          </w:tcPr>
          <w:p>
            <w:pPr>
              <w:spacing w:after="0"/>
              <w:rPr>
                <w:sz w:val="17"/>
                <w:szCs w:val="17"/>
                <w:color w:val="auto"/>
              </w:rPr>
            </w:pPr>
          </w:p>
        </w:tc>
        <w:tc>
          <w:tcPr>
            <w:tcW w:w="8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Statement of Chief Financial Officer pursuant to 18 U.S.C. Section 1350 of Title 18 of the United States Code</w:t>
            </w:r>
          </w:p>
        </w:tc>
        <w:tc>
          <w:tcPr>
            <w:tcW w:w="1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136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95"/>
              </w:rPr>
              <w:t>Exhibit 101.INS</w:t>
            </w:r>
          </w:p>
        </w:tc>
        <w:tc>
          <w:tcPr>
            <w:tcW w:w="14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36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93"/>
              </w:rPr>
              <w:t>Exhibit 101.SCH</w:t>
            </w:r>
          </w:p>
        </w:tc>
        <w:tc>
          <w:tcPr>
            <w:tcW w:w="14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36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93"/>
              </w:rPr>
              <w:t>Exhibit 101.PRE</w:t>
            </w:r>
          </w:p>
        </w:tc>
        <w:tc>
          <w:tcPr>
            <w:tcW w:w="14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Presentation Linkbase Document</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36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96"/>
              </w:rPr>
              <w:t>Exhibit 101.CAL</w:t>
            </w:r>
          </w:p>
        </w:tc>
        <w:tc>
          <w:tcPr>
            <w:tcW w:w="14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Calculation Linkbase Document</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36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96"/>
              </w:rPr>
              <w:t>Exhibit 101.LAB</w:t>
            </w:r>
          </w:p>
        </w:tc>
        <w:tc>
          <w:tcPr>
            <w:tcW w:w="14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Label Linkbase Document</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36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95"/>
              </w:rPr>
              <w:t>Exhibit 101.DEF</w:t>
            </w:r>
          </w:p>
        </w:tc>
        <w:tc>
          <w:tcPr>
            <w:tcW w:w="14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Filed herewith</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94"/>
              </w:rPr>
              <w:t>Exhibit 104</w:t>
            </w:r>
          </w:p>
        </w:tc>
        <w:tc>
          <w:tcPr>
            <w:tcW w:w="14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Filed herewith</w:t>
            </w:r>
          </w:p>
        </w:tc>
      </w:tr>
      <w:tr>
        <w:trPr>
          <w:trHeight w:val="569"/>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0" w:type="dxa"/>
            <w:vAlign w:val="bottom"/>
            <w:gridSpan w:val="2"/>
          </w:tcPr>
          <w:p>
            <w:pPr>
              <w:jc w:val="right"/>
              <w:ind w:right="4370"/>
              <w:spacing w:after="0"/>
              <w:rPr>
                <w:sz w:val="20"/>
                <w:szCs w:val="20"/>
                <w:color w:val="auto"/>
              </w:rPr>
            </w:pPr>
            <w:r>
              <w:rPr>
                <w:rFonts w:ascii="Arial" w:cs="Arial" w:eastAsia="Arial" w:hAnsi="Arial"/>
                <w:sz w:val="14"/>
                <w:szCs w:val="14"/>
                <w:color w:val="auto"/>
              </w:rPr>
              <w:t>36</w:t>
            </w:r>
          </w:p>
        </w:tc>
        <w:tc>
          <w:tcPr>
            <w:tcW w:w="1080" w:type="dxa"/>
            <w:vAlign w:val="bottom"/>
          </w:tcPr>
          <w:p>
            <w:pPr>
              <w:spacing w:after="0"/>
              <w:rPr>
                <w:sz w:val="24"/>
                <w:szCs w:val="24"/>
                <w:color w:val="auto"/>
              </w:rPr>
            </w:pPr>
          </w:p>
        </w:tc>
      </w:tr>
      <w:tr>
        <w:trPr>
          <w:trHeight w:val="46"/>
        </w:trPr>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DONEGAL GROUP INC.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August 4, 2023</w:t>
      </w:r>
      <w:r>
        <w:rPr>
          <w:sz w:val="20"/>
          <w:szCs w:val="20"/>
          <w:color w:val="auto"/>
        </w:rPr>
        <w:tab/>
      </w:r>
      <w:r>
        <w:rPr>
          <w:rFonts w:ascii="Arial" w:cs="Arial" w:eastAsia="Arial" w:hAnsi="Arial"/>
          <w:sz w:val="17"/>
          <w:szCs w:val="17"/>
          <w:b w:val="1"/>
          <w:bCs w:val="1"/>
          <w:color w:val="auto"/>
        </w:rPr>
        <w:t xml:space="preserve">By: </w:t>
      </w:r>
      <w:r>
        <w:rPr>
          <w:rFonts w:ascii="Arial" w:cs="Arial" w:eastAsia="Arial" w:hAnsi="Arial"/>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G. Burke, President and Chief Executive Officer</w:t>
      </w:r>
    </w:p>
    <w:p>
      <w:pPr>
        <w:spacing w:after="0" w:line="224"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August 4, 2023</w:t>
      </w:r>
      <w:r>
        <w:rPr>
          <w:sz w:val="20"/>
          <w:szCs w:val="20"/>
          <w:color w:val="auto"/>
        </w:rPr>
        <w:tab/>
      </w:r>
      <w:r>
        <w:rPr>
          <w:rFonts w:ascii="Arial" w:cs="Arial" w:eastAsia="Arial" w:hAnsi="Arial"/>
          <w:sz w:val="17"/>
          <w:szCs w:val="17"/>
          <w:b w:val="1"/>
          <w:bCs w:val="1"/>
          <w:color w:val="auto"/>
        </w:rPr>
        <w:t xml:space="preserve">By: </w:t>
      </w:r>
      <w:r>
        <w:rPr>
          <w:rFonts w:ascii="Arial" w:cs="Arial" w:eastAsia="Arial" w:hAnsi="Arial"/>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D. Miller, Executive Vice President</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22"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22" w:right="79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24269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426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(LIBOR TRANSITION – BILATERAL LOAN)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Dated: Sep 24, 2021</w:t>
      </w:r>
    </w:p>
    <w:p>
      <w:pPr>
        <w:spacing w:after="0" w:line="242"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BORROWER(S):</w:t>
      </w:r>
      <w:r>
        <w:rPr>
          <w:sz w:val="20"/>
          <w:szCs w:val="20"/>
          <w:color w:val="auto"/>
        </w:rPr>
        <w:tab/>
      </w:r>
      <w:r>
        <w:rPr>
          <w:rFonts w:ascii="Arial" w:cs="Arial" w:eastAsia="Arial" w:hAnsi="Arial"/>
          <w:sz w:val="18"/>
          <w:szCs w:val="18"/>
          <w:b w:val="1"/>
          <w:bCs w:val="1"/>
          <w:color w:val="auto"/>
        </w:rPr>
        <w:t>DONEGAL GROUP INC</w:t>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Referred to herein, individually and collectively as “Borrower”</w:t>
      </w:r>
    </w:p>
    <w:p>
      <w:pPr>
        <w:spacing w:after="0" w:line="207"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BANK:</w:t>
      </w:r>
      <w:r>
        <w:rPr>
          <w:sz w:val="20"/>
          <w:szCs w:val="20"/>
          <w:color w:val="auto"/>
        </w:rPr>
        <w:tab/>
      </w:r>
      <w:r>
        <w:rPr>
          <w:rFonts w:ascii="Arial" w:cs="Arial" w:eastAsia="Arial" w:hAnsi="Arial"/>
          <w:sz w:val="18"/>
          <w:szCs w:val="18"/>
          <w:b w:val="1"/>
          <w:bCs w:val="1"/>
          <w:color w:val="auto"/>
        </w:rPr>
        <w:t xml:space="preserve">M&amp;T BANK </w:t>
      </w:r>
      <w:r>
        <w:rPr>
          <w:rFonts w:ascii="Arial" w:cs="Arial" w:eastAsia="Arial" w:hAnsi="Arial"/>
          <w:sz w:val="18"/>
          <w:szCs w:val="18"/>
          <w:color w:val="auto"/>
        </w:rPr>
        <w:t>(a/k/a Manufacturers and Traders Trust Company), a New York banking corporation with an address of</w:t>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One M&amp;T Plaza (Attn: Office of General Counsel), Buffalo, New York 14203 Referred to herein as “Bank”</w:t>
      </w:r>
    </w:p>
    <w:p>
      <w:pPr>
        <w:spacing w:after="0" w:line="207"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LOAN:</w:t>
      </w:r>
      <w:r>
        <w:rPr>
          <w:sz w:val="20"/>
          <w:szCs w:val="20"/>
          <w:color w:val="auto"/>
        </w:rPr>
        <w:tab/>
      </w:r>
      <w:r>
        <w:rPr>
          <w:rFonts w:ascii="Arial" w:cs="Arial" w:eastAsia="Arial" w:hAnsi="Arial"/>
          <w:sz w:val="18"/>
          <w:szCs w:val="18"/>
          <w:b w:val="1"/>
          <w:bCs w:val="1"/>
          <w:color w:val="auto"/>
        </w:rPr>
        <w:t>Loan Facility – $20,000,000.00</w:t>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Account Number: 99657171670000000208 dated on or about 2020-08-01</w:t>
      </w:r>
    </w:p>
    <w:p>
      <w:pPr>
        <w:spacing w:after="0" w:line="231"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In consideration of the amendment to the Loan (defined below), the covenants and agreements contained herein, and for other valuable consideration, the receipt and sufficiency of which are hereby acknowledged, the Borrower and Bank Agree as follows:</w:t>
      </w:r>
    </w:p>
    <w:p>
      <w:pPr>
        <w:spacing w:after="0" w:line="13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LOAN DESCRIPTION, PURPOSE STATEMENT AND DEFINED TERMS</w:t>
      </w:r>
    </w:p>
    <w:p>
      <w:pPr>
        <w:spacing w:after="0" w:line="243" w:lineRule="exact"/>
        <w:rPr>
          <w:sz w:val="20"/>
          <w:szCs w:val="20"/>
          <w:color w:val="auto"/>
        </w:rPr>
      </w:pPr>
    </w:p>
    <w:p>
      <w:pPr>
        <w:jc w:val="both"/>
        <w:ind w:firstLine="8"/>
        <w:spacing w:after="0" w:line="234" w:lineRule="auto"/>
        <w:tabs>
          <w:tab w:leader="none" w:pos="549"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 xml:space="preserve">Loan Description. </w:t>
      </w:r>
      <w:r>
        <w:rPr>
          <w:rFonts w:ascii="Arial" w:cs="Arial" w:eastAsia="Arial" w:hAnsi="Arial"/>
          <w:sz w:val="22"/>
          <w:szCs w:val="22"/>
          <w:color w:val="auto"/>
        </w:rPr>
        <w:t>This Amendment Agreement (“Amendment”) relates to that certain loan obligation or credit facility</w:t>
      </w:r>
      <w:r>
        <w:rPr>
          <w:rFonts w:ascii="Arial" w:cs="Arial" w:eastAsia="Arial" w:hAnsi="Arial"/>
          <w:sz w:val="22"/>
          <w:szCs w:val="22"/>
          <w:b w:val="1"/>
          <w:bCs w:val="1"/>
          <w:color w:val="auto"/>
        </w:rPr>
        <w:t xml:space="preserve"> </w:t>
      </w:r>
      <w:r>
        <w:rPr>
          <w:rFonts w:ascii="Arial" w:cs="Arial" w:eastAsia="Arial" w:hAnsi="Arial"/>
          <w:sz w:val="22"/>
          <w:szCs w:val="22"/>
          <w:color w:val="auto"/>
        </w:rPr>
        <w:t>(“Loan”) described at the beginning of this Amendment and evidenced by certain documents and instruments, which may include a promissory note or notes, credit agreement and/or other similar instrument or agreement, together with all other documents and instruments executed in connection with or relating to the Loan or any collateral security for the Loan (as the same may have been or may be amended, modified or supplemented from time to time, including, without limitation, if the Loan is evidenced by a controlling credit agreement together with separate promissory notes evidencing each draw, such separate promissory notes related to such Loan executed on or after the date hereof) (individually a “Loan Document” and collectively, the “Loan Documents”).</w:t>
      </w:r>
    </w:p>
    <w:p>
      <w:pPr>
        <w:spacing w:after="0" w:line="213" w:lineRule="exact"/>
        <w:rPr>
          <w:rFonts w:ascii="Arial" w:cs="Arial" w:eastAsia="Arial" w:hAnsi="Arial"/>
          <w:sz w:val="22"/>
          <w:szCs w:val="22"/>
          <w:color w:val="auto"/>
        </w:rPr>
      </w:pPr>
    </w:p>
    <w:p>
      <w:pPr>
        <w:jc w:val="both"/>
        <w:ind w:firstLine="8"/>
        <w:spacing w:after="0" w:line="273" w:lineRule="auto"/>
        <w:tabs>
          <w:tab w:leader="none" w:pos="541"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Purpose Statement; Acknowledgement and Waiver</w:t>
      </w:r>
      <w:r>
        <w:rPr>
          <w:rFonts w:ascii="Arial" w:cs="Arial" w:eastAsia="Arial" w:hAnsi="Arial"/>
          <w:sz w:val="19"/>
          <w:szCs w:val="19"/>
          <w:color w:val="auto"/>
        </w:rPr>
        <w:t>. The purpose of this Amendment is to provide for and facilitate a</w:t>
      </w:r>
      <w:r>
        <w:rPr>
          <w:rFonts w:ascii="Arial" w:cs="Arial" w:eastAsia="Arial" w:hAnsi="Arial"/>
          <w:sz w:val="19"/>
          <w:szCs w:val="19"/>
          <w:b w:val="1"/>
          <w:bCs w:val="1"/>
          <w:color w:val="auto"/>
        </w:rPr>
        <w:t xml:space="preserve"> </w:t>
      </w:r>
      <w:r>
        <w:rPr>
          <w:rFonts w:ascii="Arial" w:cs="Arial" w:eastAsia="Arial" w:hAnsi="Arial"/>
          <w:sz w:val="19"/>
          <w:szCs w:val="19"/>
          <w:color w:val="auto"/>
        </w:rPr>
        <w:t>future conditional transition of the interest rate applicable to the Loan (the “Interest Rate”) from a rate determined as set forth in the applicable provisions of the Loan Documents based on the particular U.S. Dollar LIBOR (as defined herein), to a replacement interest rate determined in accordance with the terms provided for in this Amendment (the “Transition”). The parties hereto each</w:t>
      </w:r>
    </w:p>
    <w:p>
      <w:pPr>
        <w:spacing w:after="0" w:line="1" w:lineRule="exact"/>
        <w:rPr>
          <w:rFonts w:ascii="Arial" w:cs="Arial" w:eastAsia="Arial" w:hAnsi="Arial"/>
          <w:sz w:val="19"/>
          <w:szCs w:val="19"/>
          <w:color w:val="auto"/>
        </w:rPr>
      </w:pPr>
    </w:p>
    <w:p>
      <w:pPr>
        <w:jc w:val="both"/>
        <w:spacing w:after="0" w:line="246" w:lineRule="auto"/>
        <w:rPr>
          <w:rFonts w:ascii="Arial" w:cs="Arial" w:eastAsia="Arial" w:hAnsi="Arial"/>
          <w:sz w:val="19"/>
          <w:szCs w:val="19"/>
          <w:color w:val="auto"/>
        </w:rPr>
      </w:pPr>
      <w:r>
        <w:rPr>
          <w:rFonts w:ascii="Arial" w:cs="Arial" w:eastAsia="Arial" w:hAnsi="Arial"/>
          <w:sz w:val="21"/>
          <w:szCs w:val="21"/>
          <w:color w:val="auto"/>
        </w:rPr>
        <w:t>(i) acknowledge that they enter into this Amendment with an understanding that the transition provided for herein does not ensure or guaranty economic equivalence, at the point of transition or thereafter, with respect to the Interest Rate, (ii) agree to accept the outcome of the interest rate transition determined by the Bank in accordance with the terms hereof, and (iii) waive and release all Claims (as defined herein) against the other parties hereto related to the Transition.</w:t>
      </w:r>
    </w:p>
    <w:p>
      <w:pPr>
        <w:spacing w:after="0" w:line="200" w:lineRule="exact"/>
        <w:rPr>
          <w:rFonts w:ascii="Arial" w:cs="Arial" w:eastAsia="Arial" w:hAnsi="Arial"/>
          <w:sz w:val="19"/>
          <w:szCs w:val="19"/>
          <w:color w:val="auto"/>
        </w:rPr>
      </w:pPr>
    </w:p>
    <w:p>
      <w:pPr>
        <w:ind w:firstLine="8"/>
        <w:spacing w:after="0" w:line="236" w:lineRule="auto"/>
        <w:tabs>
          <w:tab w:leader="none" w:pos="474"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 xml:space="preserve">Defined Terms. </w:t>
      </w:r>
      <w:r>
        <w:rPr>
          <w:rFonts w:ascii="Arial" w:cs="Arial" w:eastAsia="Arial" w:hAnsi="Arial"/>
          <w:sz w:val="22"/>
          <w:szCs w:val="22"/>
          <w:color w:val="auto"/>
        </w:rPr>
        <w:t>All capitalized terms used herein but not otherwise defined herein shall have the meaning given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terms (or analogous, synonymous or similar defined terms, as applicable) in the applicable Loan Documents. Notwithstanding the preceding sentence, to the extent any terms defined in the Loan Documents are or become inconsistent with (or are amended or rendered inapplicable or ineffective by) any terms or concepts incorporated into the Loan Documents pursuant to this Amendment, either prior to or in connection with a prescribed Transition, the terms and concepts provided for in this Amendment shall control.</w:t>
      </w:r>
    </w:p>
    <w:p>
      <w:pPr>
        <w:spacing w:after="0" w:line="21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43" w:lineRule="exact"/>
        <w:rPr>
          <w:sz w:val="20"/>
          <w:szCs w:val="20"/>
          <w:color w:val="auto"/>
        </w:rPr>
      </w:pPr>
    </w:p>
    <w:p>
      <w:pPr>
        <w:jc w:val="both"/>
        <w:ind w:firstLine="8"/>
        <w:spacing w:after="0" w:line="260" w:lineRule="auto"/>
        <w:tabs>
          <w:tab w:leader="none" w:pos="617"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 xml:space="preserve">Effect of Benchmark Transition Event. </w:t>
      </w:r>
      <w:r>
        <w:rPr>
          <w:rFonts w:ascii="Arial" w:cs="Arial" w:eastAsia="Arial" w:hAnsi="Arial"/>
          <w:sz w:val="21"/>
          <w:szCs w:val="21"/>
          <w:color w:val="auto"/>
        </w:rPr>
        <w:t>Notwithstanding anything to the contrary contained in the applicable Loan</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the terms of the Loan and the applicable Loan Document(s) are hereby amended to include the following provisions under a new section in the applicable Loan Document to be titled “Benchmark Replacement Setting”:</w:t>
      </w:r>
    </w:p>
    <w:p>
      <w:pPr>
        <w:sectPr>
          <w:pgSz w:w="11900" w:h="16838" w:orient="portrait"/>
          <w:cols w:equalWidth="0" w:num="1">
            <w:col w:w="11240"/>
          </w:cols>
          <w:pgMar w:left="320" w:top="388"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type w:val="continuous"/>
        </w:sectPr>
      </w:pPr>
    </w:p>
    <w:bookmarkStart w:id="40" w:name="page41"/>
    <w:bookmarkEnd w:id="40"/>
    <w:p>
      <w:pPr>
        <w:spacing w:after="0" w:line="5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Benchmark Replacement Setting</w:t>
      </w:r>
    </w:p>
    <w:p>
      <w:pPr>
        <w:spacing w:after="0" w:line="234" w:lineRule="exact"/>
        <w:rPr>
          <w:sz w:val="20"/>
          <w:szCs w:val="20"/>
          <w:color w:val="auto"/>
        </w:rPr>
      </w:pPr>
    </w:p>
    <w:p>
      <w:pPr>
        <w:jc w:val="both"/>
        <w:ind w:left="6" w:hanging="6"/>
        <w:spacing w:after="0" w:line="271" w:lineRule="auto"/>
        <w:tabs>
          <w:tab w:leader="none" w:pos="573"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 xml:space="preserve">Benchmark Replacement. </w:t>
      </w:r>
      <w:r>
        <w:rPr>
          <w:rFonts w:ascii="Arial" w:cs="Arial" w:eastAsia="Arial" w:hAnsi="Arial"/>
          <w:sz w:val="19"/>
          <w:szCs w:val="19"/>
          <w:color w:val="auto"/>
        </w:rPr>
        <w:t>Notwithstanding anything to the contrary herein or in any other Loan Document, if a</w:t>
      </w:r>
      <w:r>
        <w:rPr>
          <w:rFonts w:ascii="Arial" w:cs="Arial" w:eastAsia="Arial" w:hAnsi="Arial"/>
          <w:sz w:val="19"/>
          <w:szCs w:val="19"/>
          <w:b w:val="1"/>
          <w:bCs w:val="1"/>
          <w:color w:val="auto"/>
        </w:rPr>
        <w:t xml:space="preserve"> </w:t>
      </w:r>
      <w:r>
        <w:rPr>
          <w:rFonts w:ascii="Arial" w:cs="Arial" w:eastAsia="Arial" w:hAnsi="Arial"/>
          <w:sz w:val="19"/>
          <w:szCs w:val="19"/>
          <w:color w:val="auto"/>
        </w:rPr>
        <w:t>Benchmark Transition Event or an Early Opt-in Election, as applicable, and its related Benchmark Replacement Date have occurred prior to the Reference Time in respect of any setting of the then-current Benchmark, then, (i) if a Benchmark Replacement is determined in accordance with clause (a) or (b)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or further action or consent of any other party hereto or to any other Loan Document, and (ii) if a Benchmark Replacement is determined in accordance with clause (c) of the definition of “Benchmark Replacement” for such Benchmark Replacement Date or in connection with and Early Opt-in Election, such Benchmark Replacement will replace such Benchmark for all purposes hereunder and under any other Loan Document in respect of any Benchmark setting that occurs more than five (5) Business Days after the date notice of such Benchmark Replacement is provided to the Borrower, without any amendment hereto or to any other Loan Document, or further action or consent of the Borrower, so long as the Bank has not received, by such time, written notice of Borrower’s objection to such Benchmark Replacement (which notice must in all instances be delivered electronically to a designated Bank email address or as otherwise directed by Bank, in accordance with instructions to be included in the Bank’s notice thereof to Borrower). For purposes of this Section titled “Benchmark Replacement Setting” (this “Section”), any interest rate hedging agreement related to the Loan shall be excluded from the definition of a “Loan Document.”</w:t>
      </w:r>
    </w:p>
    <w:p>
      <w:pPr>
        <w:spacing w:after="0" w:line="200" w:lineRule="exact"/>
        <w:rPr>
          <w:sz w:val="20"/>
          <w:szCs w:val="20"/>
          <w:color w:val="auto"/>
        </w:rPr>
      </w:pPr>
    </w:p>
    <w:p>
      <w:pPr>
        <w:spacing w:after="0" w:line="233" w:lineRule="exact"/>
        <w:rPr>
          <w:sz w:val="20"/>
          <w:szCs w:val="20"/>
          <w:color w:val="auto"/>
        </w:rPr>
      </w:pPr>
    </w:p>
    <w:p>
      <w:pPr>
        <w:jc w:val="both"/>
        <w:ind w:left="6"/>
        <w:spacing w:after="0" w:line="252" w:lineRule="auto"/>
        <w:rPr>
          <w:sz w:val="20"/>
          <w:szCs w:val="20"/>
          <w:color w:val="auto"/>
        </w:rPr>
      </w:pPr>
      <w:r>
        <w:rPr>
          <w:rFonts w:ascii="Arial" w:cs="Arial" w:eastAsia="Arial" w:hAnsi="Arial"/>
          <w:sz w:val="21"/>
          <w:szCs w:val="21"/>
          <w:color w:val="auto"/>
        </w:rPr>
        <w:t>The parties hereto acknowledge that a Benchmark Transition Event has occurred with respect to LIBOR with the public announcements on March 5, 2021, by the ICE Benchmark Administration (IBA) and the U.K. Financial Conduct Authority (FCA), that the IBA will permanently cease to publish all remaining tenors of LIBOR on June 30, 2023, for which the related Benchmark Replacement Date is anticipated to be June 30, 2023.</w:t>
      </w:r>
    </w:p>
    <w:p>
      <w:pPr>
        <w:spacing w:after="0" w:line="195" w:lineRule="exact"/>
        <w:rPr>
          <w:sz w:val="20"/>
          <w:szCs w:val="20"/>
          <w:color w:val="auto"/>
        </w:rPr>
      </w:pPr>
    </w:p>
    <w:p>
      <w:pPr>
        <w:jc w:val="both"/>
        <w:ind w:left="6" w:hanging="6"/>
        <w:spacing w:after="0" w:line="280" w:lineRule="auto"/>
        <w:tabs>
          <w:tab w:leader="none" w:pos="576"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Benchmark Replacement Conforming Changes. </w:t>
      </w:r>
      <w:r>
        <w:rPr>
          <w:rFonts w:ascii="Arial" w:cs="Arial" w:eastAsia="Arial" w:hAnsi="Arial"/>
          <w:sz w:val="19"/>
          <w:szCs w:val="19"/>
          <w:color w:val="auto"/>
        </w:rPr>
        <w:t>In connection with the implementation and administration of a</w:t>
      </w:r>
      <w:r>
        <w:rPr>
          <w:rFonts w:ascii="Arial" w:cs="Arial" w:eastAsia="Arial" w:hAnsi="Arial"/>
          <w:sz w:val="19"/>
          <w:szCs w:val="19"/>
          <w:b w:val="1"/>
          <w:bCs w:val="1"/>
          <w:color w:val="auto"/>
        </w:rPr>
        <w:t xml:space="preserve"> </w:t>
      </w:r>
      <w:r>
        <w:rPr>
          <w:rFonts w:ascii="Arial" w:cs="Arial" w:eastAsia="Arial" w:hAnsi="Arial"/>
          <w:sz w:val="19"/>
          <w:szCs w:val="19"/>
          <w:color w:val="auto"/>
        </w:rPr>
        <w:t>Benchmark Replacement, the Bank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 or any other party to the Loan Documents. The Bank shall not be liable to the Borrower or any other party to the Loan Documents for any Benchmark Replacement Conforming Changes made by the Bank in good faith.</w:t>
      </w:r>
    </w:p>
    <w:p>
      <w:pPr>
        <w:spacing w:after="0" w:line="171" w:lineRule="exact"/>
        <w:rPr>
          <w:rFonts w:ascii="Arial" w:cs="Arial" w:eastAsia="Arial" w:hAnsi="Arial"/>
          <w:sz w:val="19"/>
          <w:szCs w:val="19"/>
          <w:color w:val="auto"/>
        </w:rPr>
      </w:pPr>
    </w:p>
    <w:p>
      <w:pPr>
        <w:jc w:val="both"/>
        <w:ind w:left="6" w:hanging="6"/>
        <w:spacing w:after="0" w:line="245" w:lineRule="auto"/>
        <w:tabs>
          <w:tab w:leader="none" w:pos="459" w:val="left"/>
        </w:tabs>
        <w:numPr>
          <w:ilvl w:val="0"/>
          <w:numId w:val="13"/>
        </w:numPr>
        <w:rPr>
          <w:rFonts w:ascii="Arial" w:cs="Arial" w:eastAsia="Arial" w:hAnsi="Arial"/>
          <w:sz w:val="21"/>
          <w:szCs w:val="21"/>
          <w:color w:val="auto"/>
        </w:rPr>
      </w:pPr>
      <w:r>
        <w:rPr>
          <w:rFonts w:ascii="Arial" w:cs="Arial" w:eastAsia="Arial" w:hAnsi="Arial"/>
          <w:sz w:val="21"/>
          <w:szCs w:val="21"/>
          <w:b w:val="1"/>
          <w:bCs w:val="1"/>
          <w:color w:val="auto"/>
        </w:rPr>
        <w:t xml:space="preserve">Notices; Standards for Decisions and Determinations. </w:t>
      </w:r>
      <w:r>
        <w:rPr>
          <w:rFonts w:ascii="Arial" w:cs="Arial" w:eastAsia="Arial" w:hAnsi="Arial"/>
          <w:sz w:val="21"/>
          <w:szCs w:val="21"/>
          <w:color w:val="auto"/>
        </w:rPr>
        <w:t>The Bank will provide notification to the Borrower (which</w:t>
      </w:r>
      <w:r>
        <w:rPr>
          <w:rFonts w:ascii="Arial" w:cs="Arial" w:eastAsia="Arial" w:hAnsi="Arial"/>
          <w:sz w:val="21"/>
          <w:szCs w:val="21"/>
          <w:b w:val="1"/>
          <w:bCs w:val="1"/>
          <w:color w:val="auto"/>
        </w:rPr>
        <w:t xml:space="preserve"> </w:t>
      </w:r>
      <w:r>
        <w:rPr>
          <w:rFonts w:ascii="Arial" w:cs="Arial" w:eastAsia="Arial" w:hAnsi="Arial"/>
          <w:sz w:val="21"/>
          <w:szCs w:val="21"/>
          <w:color w:val="auto"/>
        </w:rPr>
        <w:t>may at the Bank’s discretion be electronic, part of a billing statement, a general notice to customers or other communication) of the implementation of any Benchmark Replacement and the effectiveness of any Benchmark Replacement Conforming Changes within a reasonable time prior to such implementation and effectiveness, as applicable. Any determination, decision or election that may be made by the Bank pursuant to this Section, including, without limitation, any determination with respect to a tenor, rate or adjustment or of the occurrence or non-occurrence of an event, circumstance or date and any decision to take or refrain from taking any action or any selection, will be conclusive and binding upon the Borrower and any other parties to the Loan Documents absent manifest error and may be made in the Bank’s sole discretion and without consent from the Borrower or any other party to the Loan Documents, except, in each case, as expressly required pursuant to this Section.</w:t>
      </w:r>
    </w:p>
    <w:p>
      <w:pPr>
        <w:spacing w:after="0" w:line="207" w:lineRule="exact"/>
        <w:rPr>
          <w:rFonts w:ascii="Arial" w:cs="Arial" w:eastAsia="Arial" w:hAnsi="Arial"/>
          <w:sz w:val="21"/>
          <w:szCs w:val="21"/>
          <w:color w:val="auto"/>
        </w:rPr>
      </w:pPr>
    </w:p>
    <w:p>
      <w:pPr>
        <w:jc w:val="both"/>
        <w:ind w:left="6" w:hanging="6"/>
        <w:spacing w:after="0" w:line="237" w:lineRule="auto"/>
        <w:tabs>
          <w:tab w:leader="none" w:pos="671"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Unavailability of Tenor of Benchmark. </w:t>
      </w:r>
      <w:r>
        <w:rPr>
          <w:rFonts w:ascii="Arial" w:cs="Arial" w:eastAsia="Arial" w:hAnsi="Arial"/>
          <w:sz w:val="22"/>
          <w:szCs w:val="22"/>
          <w:color w:val="auto"/>
        </w:rPr>
        <w:t>At any time (including in connection with the implementation of a</w:t>
      </w:r>
      <w:r>
        <w:rPr>
          <w:rFonts w:ascii="Arial" w:cs="Arial" w:eastAsia="Arial" w:hAnsi="Arial"/>
          <w:sz w:val="22"/>
          <w:szCs w:val="22"/>
          <w:b w:val="1"/>
          <w:bCs w:val="1"/>
          <w:color w:val="auto"/>
        </w:rPr>
        <w:t xml:space="preserve"> </w:t>
      </w:r>
      <w:r>
        <w:rPr>
          <w:rFonts w:ascii="Arial" w:cs="Arial" w:eastAsia="Arial" w:hAnsi="Arial"/>
          <w:sz w:val="22"/>
          <w:szCs w:val="22"/>
          <w:color w:val="auto"/>
        </w:rPr>
        <w:t>Benchmark Replacement), (i) if the then-current Benchmark is a term rate (including Term SOFR or LIBOR), then the Bank may remove any tenor of such Benchmark that is unavailable or non-representative for Benchmark (including Benchmark Replacement) settings and (ii) the Bank may reinstate any such previously removed tenor for Benchmark (including Benchmark Replacement) settings.</w:t>
      </w:r>
    </w:p>
    <w:p>
      <w:pPr>
        <w:spacing w:after="0" w:line="208" w:lineRule="exact"/>
        <w:rPr>
          <w:rFonts w:ascii="Arial" w:cs="Arial" w:eastAsia="Arial" w:hAnsi="Arial"/>
          <w:sz w:val="22"/>
          <w:szCs w:val="22"/>
          <w:color w:val="auto"/>
        </w:rPr>
      </w:pPr>
    </w:p>
    <w:p>
      <w:pPr>
        <w:jc w:val="both"/>
        <w:ind w:left="6" w:hanging="6"/>
        <w:spacing w:after="0" w:line="273" w:lineRule="auto"/>
        <w:tabs>
          <w:tab w:leader="none" w:pos="601"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Benchmark Unavailability Period. </w:t>
      </w:r>
      <w:r>
        <w:rPr>
          <w:rFonts w:ascii="Arial" w:cs="Arial" w:eastAsia="Arial" w:hAnsi="Arial"/>
          <w:sz w:val="19"/>
          <w:szCs w:val="19"/>
          <w:color w:val="auto"/>
        </w:rPr>
        <w:t>Upon the Borrower’s receipt of notice of the commencement of a Benchmark</w:t>
      </w:r>
      <w:r>
        <w:rPr>
          <w:rFonts w:ascii="Arial" w:cs="Arial" w:eastAsia="Arial" w:hAnsi="Arial"/>
          <w:sz w:val="19"/>
          <w:szCs w:val="19"/>
          <w:b w:val="1"/>
          <w:bCs w:val="1"/>
          <w:color w:val="auto"/>
        </w:rPr>
        <w:t xml:space="preserve"> </w:t>
      </w:r>
      <w:r>
        <w:rPr>
          <w:rFonts w:ascii="Arial" w:cs="Arial" w:eastAsia="Arial" w:hAnsi="Arial"/>
          <w:sz w:val="19"/>
          <w:szCs w:val="19"/>
          <w:color w:val="auto"/>
        </w:rPr>
        <w:t>Unavailability Period and until a Benchmark Replacement is determined in accordance with this Section, the Borrower may revoke (as applicable) any request for an advance/borrowing of, conversion to or continuation of a loan earning interest at the then-current Benchmark to be made, converted or continued during any Benchmark Unavailability Period and, failing that, the Borrower will be deemed to have converted any such request into a request for an advance/borrowing of or conversion to a loan that shall accrue interest at the Base Rate.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For the purposes hereof, “Base Rate” shall mean the rate (or rate formula, as applicable) set forth in the Loan Documents as the primary alternative to and/or fallback for the then-current Benchmark, which may be defined or referred to in the Loan Documents as a base rate, alternate base rate or prime-based rate (or any analogous, synonymous or similarly defined term, as applicable).</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366" w:hanging="366"/>
        <w:spacing w:after="0"/>
        <w:tabs>
          <w:tab w:leader="none" w:pos="366"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Certain Defined Terms. </w:t>
      </w:r>
      <w:r>
        <w:rPr>
          <w:rFonts w:ascii="Arial" w:cs="Arial" w:eastAsia="Arial" w:hAnsi="Arial"/>
          <w:sz w:val="18"/>
          <w:szCs w:val="18"/>
          <w:color w:val="auto"/>
        </w:rPr>
        <w:t>As used in this Section:</w:t>
      </w:r>
    </w:p>
    <w:p>
      <w:pPr>
        <w:spacing w:after="0" w:line="242" w:lineRule="exact"/>
        <w:rPr>
          <w:rFonts w:ascii="Arial" w:cs="Arial" w:eastAsia="Arial" w:hAnsi="Arial"/>
          <w:sz w:val="18"/>
          <w:szCs w:val="18"/>
          <w:color w:val="auto"/>
        </w:rPr>
      </w:pPr>
    </w:p>
    <w:p>
      <w:pPr>
        <w:jc w:val="both"/>
        <w:ind w:left="486"/>
        <w:spacing w:after="0" w:line="289" w:lineRule="auto"/>
        <w:tabs>
          <w:tab w:leader="none" w:pos="888" w:val="left"/>
        </w:tabs>
        <w:numPr>
          <w:ilvl w:val="1"/>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“Available Tenor” </w:t>
      </w:r>
      <w:r>
        <w:rPr>
          <w:rFonts w:ascii="Arial" w:cs="Arial" w:eastAsia="Arial" w:hAnsi="Arial"/>
          <w:sz w:val="19"/>
          <w:szCs w:val="19"/>
          <w:color w:val="auto"/>
        </w:rPr>
        <w:t>means, as of any date of determination and with respect to the then-current Benchmark,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(x) if the then-current Benchmark is a term rate, any tenor for such Benchmark or (y) otherwise, any payment period for interest calculated with reference to such Benchmark, as applicable, that is or may be used for determining the length of an Interest Period pursuant to the Loan Documents as of such date.</w:t>
      </w:r>
    </w:p>
    <w:p>
      <w:pPr>
        <w:sectPr>
          <w:pgSz w:w="11900" w:h="16890" w:orient="portrait"/>
          <w:cols w:equalWidth="0" w:num="1">
            <w:col w:w="10746"/>
          </w:cols>
          <w:pgMar w:left="814" w:top="112" w:right="339" w:bottom="0" w:gutter="0" w:footer="0" w:header="0"/>
        </w:sectPr>
      </w:pPr>
    </w:p>
    <w:bookmarkStart w:id="41" w:name="page42"/>
    <w:bookmarkEnd w:id="41"/>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2" w:name="page43"/>
    <w:bookmarkEnd w:id="42"/>
    <w:p>
      <w:pPr>
        <w:jc w:val="both"/>
        <w:spacing w:after="0" w:line="289" w:lineRule="auto"/>
        <w:tabs>
          <w:tab w:leader="none" w:pos="453"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“Benchmark” </w:t>
      </w:r>
      <w:r>
        <w:rPr>
          <w:rFonts w:ascii="Arial" w:cs="Arial" w:eastAsia="Arial" w:hAnsi="Arial"/>
          <w:sz w:val="19"/>
          <w:szCs w:val="19"/>
          <w:color w:val="auto"/>
        </w:rPr>
        <w:t>means, initially, LIBOR; provided that if a Benchmark Transition Event or an early Opt-in</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as applicable, and its related Benchmark Replacement Date have occurred with respect to LIBOR or the then-current Benchmark, then “Benchmark” means the applicable Benchmark Replacement to the extent that such Benchmark Replacement has replaced such prior benchmark rate pursuant to clause (a) of this Section.</w:t>
      </w:r>
    </w:p>
    <w:p>
      <w:pPr>
        <w:spacing w:after="0" w:line="163" w:lineRule="exact"/>
        <w:rPr>
          <w:rFonts w:ascii="Arial" w:cs="Arial" w:eastAsia="Arial" w:hAnsi="Arial"/>
          <w:sz w:val="19"/>
          <w:szCs w:val="19"/>
          <w:color w:val="auto"/>
        </w:rPr>
      </w:pPr>
    </w:p>
    <w:p>
      <w:pPr>
        <w:jc w:val="both"/>
        <w:spacing w:after="0" w:line="243" w:lineRule="auto"/>
        <w:tabs>
          <w:tab w:leader="none" w:pos="428"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“Benchmark Replacement” </w:t>
      </w:r>
      <w:r>
        <w:rPr>
          <w:rFonts w:ascii="Arial" w:cs="Arial" w:eastAsia="Arial" w:hAnsi="Arial"/>
          <w:sz w:val="22"/>
          <w:szCs w:val="22"/>
          <w:color w:val="auto"/>
        </w:rPr>
        <w:t>means, for any Available Tenor the first alternative set forth in the order below that</w:t>
      </w:r>
      <w:r>
        <w:rPr>
          <w:rFonts w:ascii="Arial" w:cs="Arial" w:eastAsia="Arial" w:hAnsi="Arial"/>
          <w:sz w:val="22"/>
          <w:szCs w:val="22"/>
          <w:b w:val="1"/>
          <w:bCs w:val="1"/>
          <w:color w:val="auto"/>
        </w:rPr>
        <w:t xml:space="preserve"> </w:t>
      </w:r>
      <w:r>
        <w:rPr>
          <w:rFonts w:ascii="Arial" w:cs="Arial" w:eastAsia="Arial" w:hAnsi="Arial"/>
          <w:sz w:val="22"/>
          <w:szCs w:val="22"/>
          <w:color w:val="auto"/>
        </w:rPr>
        <w:t>is applicable (based on the applicability restrictions below) and can be determined by the Bank for the applicable Benchmark Replacement Date:</w:t>
      </w:r>
    </w:p>
    <w:p>
      <w:pPr>
        <w:spacing w:after="0" w:line="216" w:lineRule="exact"/>
        <w:rPr>
          <w:rFonts w:ascii="Arial" w:cs="Arial" w:eastAsia="Arial" w:hAnsi="Arial"/>
          <w:sz w:val="22"/>
          <w:szCs w:val="22"/>
          <w:color w:val="auto"/>
        </w:rPr>
      </w:pPr>
    </w:p>
    <w:p>
      <w:pPr>
        <w:ind w:left="560" w:hanging="317"/>
        <w:spacing w:after="0"/>
        <w:tabs>
          <w:tab w:leader="none" w:pos="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sum of: (i) Term SOFR and (ii) the related Benchmark Replacement Adjustment;</w:t>
      </w:r>
    </w:p>
    <w:p>
      <w:pPr>
        <w:spacing w:after="0" w:line="23" w:lineRule="exact"/>
        <w:rPr>
          <w:rFonts w:ascii="Arial" w:cs="Arial" w:eastAsia="Arial" w:hAnsi="Arial"/>
          <w:sz w:val="18"/>
          <w:szCs w:val="18"/>
          <w:color w:val="auto"/>
        </w:rPr>
      </w:pPr>
    </w:p>
    <w:p>
      <w:pPr>
        <w:ind w:left="560" w:hanging="317"/>
        <w:spacing w:after="0"/>
        <w:tabs>
          <w:tab w:leader="none" w:pos="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sum of: (i) Daily Simple SOFR and (ii) the related Benchmark Replacement Adjustment;</w:t>
      </w:r>
    </w:p>
    <w:p>
      <w:pPr>
        <w:spacing w:after="0" w:line="9" w:lineRule="exact"/>
        <w:rPr>
          <w:rFonts w:ascii="Arial" w:cs="Arial" w:eastAsia="Arial" w:hAnsi="Arial"/>
          <w:sz w:val="18"/>
          <w:szCs w:val="18"/>
          <w:color w:val="auto"/>
        </w:rPr>
      </w:pPr>
    </w:p>
    <w:p>
      <w:pPr>
        <w:jc w:val="both"/>
        <w:ind w:left="560" w:hanging="317"/>
        <w:spacing w:after="0" w:line="292" w:lineRule="auto"/>
        <w:tabs>
          <w:tab w:leader="none" w:pos="5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sum of: (i) the alternate benchmark rate that has been selected by the Bank as the replacement For the then-current Benchmark for the applicable Corresponding Tenor giving due consideration to (x) any selection or recommendation of a replacement benchmark rate or the mechanism for determining such a rate by the Relevant Governmental Body or (y) any evolving or then-prevailing market convention for determining a benchmark rate as a replacement for the then-current Benchmark for U.S. dollar-denominated syndicated or bilateral credit facilities at such time, and (ii) the related Benchmark Replacement Adjustment;</w:t>
      </w:r>
    </w:p>
    <w:p>
      <w:pPr>
        <w:spacing w:after="0" w:line="182"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Notwithstanding the above, clause (a) above shall not be utilized to the extent the applicable tenor of LIBOR is overnight LIBOR, in which case the next available alternative beginning with clause (b) shall apply.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If the Benchmark Replacement as determined pursuant to clause (a), (b) or (c) above would be less than the Floor, the Benchmark Replacement will be deemed to be the Floor.</w:t>
      </w:r>
    </w:p>
    <w:p>
      <w:pPr>
        <w:spacing w:after="0" w:line="208" w:lineRule="exact"/>
        <w:rPr>
          <w:sz w:val="20"/>
          <w:szCs w:val="20"/>
          <w:color w:val="auto"/>
        </w:rPr>
      </w:pPr>
    </w:p>
    <w:p>
      <w:pPr>
        <w:jc w:val="both"/>
        <w:spacing w:after="0" w:line="243" w:lineRule="auto"/>
        <w:tabs>
          <w:tab w:leader="none" w:pos="366"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“Benchmark Replacement Adjustment” </w:t>
      </w:r>
      <w:r>
        <w:rPr>
          <w:rFonts w:ascii="Arial" w:cs="Arial" w:eastAsia="Arial" w:hAnsi="Arial"/>
          <w:sz w:val="22"/>
          <w:szCs w:val="22"/>
          <w:color w:val="auto"/>
        </w:rPr>
        <w:t>means, with respect to any replacement of the then-current Benchmark</w:t>
      </w:r>
      <w:r>
        <w:rPr>
          <w:rFonts w:ascii="Arial" w:cs="Arial" w:eastAsia="Arial" w:hAnsi="Arial"/>
          <w:sz w:val="22"/>
          <w:szCs w:val="22"/>
          <w:b w:val="1"/>
          <w:bCs w:val="1"/>
          <w:color w:val="auto"/>
        </w:rPr>
        <w:t xml:space="preserve"> </w:t>
      </w:r>
      <w:r>
        <w:rPr>
          <w:rFonts w:ascii="Arial" w:cs="Arial" w:eastAsia="Arial" w:hAnsi="Arial"/>
          <w:sz w:val="22"/>
          <w:szCs w:val="22"/>
          <w:color w:val="auto"/>
        </w:rPr>
        <w:t>with an Unadjusted Benchmark Replacement for any applicable Interest Period and Available Tenor for any setting of such Unadjusted Benchmark Replacement:</w:t>
      </w:r>
    </w:p>
    <w:p>
      <w:pPr>
        <w:spacing w:after="0" w:line="216" w:lineRule="exact"/>
        <w:rPr>
          <w:rFonts w:ascii="Arial" w:cs="Arial" w:eastAsia="Arial" w:hAnsi="Arial"/>
          <w:sz w:val="22"/>
          <w:szCs w:val="22"/>
          <w:color w:val="auto"/>
        </w:rPr>
      </w:pPr>
    </w:p>
    <w:p>
      <w:pPr>
        <w:ind w:left="580" w:hanging="319"/>
        <w:spacing w:after="0" w:line="277" w:lineRule="auto"/>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purposes of clauses (a) and (b) of the definition of “Benchmark Replacement,” the first alternative set forth in the order below that can be determined by the Bank:</w:t>
      </w:r>
    </w:p>
    <w:p>
      <w:pPr>
        <w:spacing w:after="0" w:line="190" w:lineRule="exact"/>
        <w:rPr>
          <w:rFonts w:ascii="Arial" w:cs="Arial" w:eastAsia="Arial" w:hAnsi="Arial"/>
          <w:sz w:val="18"/>
          <w:szCs w:val="18"/>
          <w:color w:val="auto"/>
        </w:rPr>
      </w:pPr>
    </w:p>
    <w:p>
      <w:pPr>
        <w:jc w:val="both"/>
        <w:ind w:firstLine="648"/>
        <w:spacing w:after="0" w:line="287" w:lineRule="auto"/>
        <w:tabs>
          <w:tab w:leader="none" w:pos="920" w:val="left"/>
        </w:tabs>
        <w:numPr>
          <w:ilvl w:val="2"/>
          <w:numId w:val="15"/>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Corresponding Tenor;</w:t>
      </w:r>
    </w:p>
    <w:p>
      <w:pPr>
        <w:spacing w:after="0" w:line="169" w:lineRule="exact"/>
        <w:rPr>
          <w:rFonts w:ascii="Arial" w:cs="Arial" w:eastAsia="Arial" w:hAnsi="Arial"/>
          <w:sz w:val="19"/>
          <w:szCs w:val="19"/>
          <w:color w:val="auto"/>
        </w:rPr>
      </w:pPr>
    </w:p>
    <w:p>
      <w:pPr>
        <w:jc w:val="both"/>
        <w:ind w:firstLine="648"/>
        <w:spacing w:after="0" w:line="238" w:lineRule="auto"/>
        <w:tabs>
          <w:tab w:leader="none" w:pos="979" w:val="left"/>
        </w:tabs>
        <w:numPr>
          <w:ilvl w:val="2"/>
          <w:numId w:val="15"/>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18" w:lineRule="exact"/>
        <w:rPr>
          <w:rFonts w:ascii="Arial" w:cs="Arial" w:eastAsia="Arial" w:hAnsi="Arial"/>
          <w:sz w:val="22"/>
          <w:szCs w:val="22"/>
          <w:color w:val="auto"/>
        </w:rPr>
      </w:pPr>
    </w:p>
    <w:p>
      <w:pPr>
        <w:jc w:val="both"/>
        <w:ind w:left="580" w:hanging="319"/>
        <w:spacing w:after="0" w:line="271" w:lineRule="auto"/>
        <w:tabs>
          <w:tab w:leader="none" w:pos="5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for purposes of clause (c) of the definition of “Benchmark Replacement,” the spread adjustment, or method for calculating or determining such spread adjustment, (which may be a positive or negative value or zero) that has been selected by the Bank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or bilateral credit facilities;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provided that, in the case of clause (a) above, such adjustment is displayed on a screen or other information service that publishes such Benchmark Replacement Adjustment from time to time as selected by the Bank in its reasonable discretion.</w:t>
      </w:r>
    </w:p>
    <w:p>
      <w:pPr>
        <w:spacing w:after="0" w:line="207" w:lineRule="exact"/>
        <w:rPr>
          <w:sz w:val="20"/>
          <w:szCs w:val="20"/>
          <w:color w:val="auto"/>
        </w:rPr>
      </w:pPr>
    </w:p>
    <w:p>
      <w:pPr>
        <w:jc w:val="both"/>
        <w:spacing w:after="0" w:line="274" w:lineRule="auto"/>
        <w:tabs>
          <w:tab w:leader="none" w:pos="409" w:val="left"/>
        </w:tabs>
        <w:numPr>
          <w:ilvl w:val="0"/>
          <w:numId w:val="16"/>
        </w:numPr>
        <w:rPr>
          <w:rFonts w:ascii="Arial" w:cs="Arial" w:eastAsia="Arial" w:hAnsi="Arial"/>
          <w:sz w:val="19"/>
          <w:szCs w:val="19"/>
          <w:color w:val="auto"/>
        </w:rPr>
      </w:pPr>
      <w:r>
        <w:rPr>
          <w:rFonts w:ascii="Arial" w:cs="Arial" w:eastAsia="Arial" w:hAnsi="Arial"/>
          <w:sz w:val="19"/>
          <w:szCs w:val="19"/>
          <w:b w:val="1"/>
          <w:bCs w:val="1"/>
          <w:color w:val="auto"/>
        </w:rPr>
        <w:t xml:space="preserve">“Benchmark Replacement Conforming Changes” </w:t>
      </w:r>
      <w:r>
        <w:rPr>
          <w:rFonts w:ascii="Arial" w:cs="Arial" w:eastAsia="Arial" w:hAnsi="Arial"/>
          <w:sz w:val="19"/>
          <w:szCs w:val="19"/>
          <w:color w:val="auto"/>
        </w:rPr>
        <w:t>means, with respect to any Benchmark Replacement, any</w:t>
      </w:r>
      <w:r>
        <w:rPr>
          <w:rFonts w:ascii="Arial" w:cs="Arial" w:eastAsia="Arial" w:hAnsi="Arial"/>
          <w:sz w:val="19"/>
          <w:szCs w:val="19"/>
          <w:b w:val="1"/>
          <w:bCs w:val="1"/>
          <w:color w:val="auto"/>
        </w:rPr>
        <w:t xml:space="preserve"> </w:t>
      </w:r>
      <w:r>
        <w:rPr>
          <w:rFonts w:ascii="Arial" w:cs="Arial" w:eastAsia="Arial" w:hAnsi="Arial"/>
          <w:sz w:val="19"/>
          <w:szCs w:val="19"/>
          <w:color w:val="auto"/>
        </w:rPr>
        <w:t>technical, administrative or operational changes (including, without limitation, changes to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Bank decides may be appropriate to reflect the adoption and implementation of such Benchmark Replacement and to permit the administration thereof by the Bank in a manner substantially consistent with market practice (or, if the Bank decides that adoption of any portion of such market practice is not administratively feasible or if the Bank determines that no market practice for the administration of such Benchmark Replacement exists, in such other manner of administration as the Bank decides is reasonably necessary in connection with the administration of the Loan).</w:t>
      </w:r>
    </w:p>
    <w:p>
      <w:pPr>
        <w:sectPr>
          <w:pgSz w:w="11900" w:h="16838" w:orient="portrait"/>
          <w:cols w:equalWidth="0" w:num="1">
            <w:col w:w="10260"/>
          </w:cols>
          <w:pgMar w:left="1300" w:top="112" w:right="339" w:bottom="966" w:gutter="0" w:footer="0" w:header="0"/>
        </w:sect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12" w:right="339" w:bottom="966" w:gutter="0" w:footer="0" w:header="0"/>
          <w:type w:val="continuous"/>
        </w:sectPr>
      </w:pPr>
    </w:p>
    <w:bookmarkStart w:id="43" w:name="page44"/>
    <w:bookmarkEnd w:id="43"/>
    <w:p>
      <w:pPr>
        <w:spacing w:after="0" w:line="257" w:lineRule="auto"/>
        <w:tabs>
          <w:tab w:leader="none" w:pos="455"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“Benchmark Replacement Date” </w:t>
      </w:r>
      <w:r>
        <w:rPr>
          <w:rFonts w:ascii="Arial" w:cs="Arial" w:eastAsia="Arial" w:hAnsi="Arial"/>
          <w:sz w:val="22"/>
          <w:szCs w:val="22"/>
          <w:color w:val="auto"/>
        </w:rPr>
        <w:t>means the earliest to occur of the following events with respect to the then-current Benchmark:</w:t>
      </w:r>
    </w:p>
    <w:p>
      <w:pPr>
        <w:spacing w:after="0" w:line="200" w:lineRule="exact"/>
        <w:rPr>
          <w:rFonts w:ascii="Arial" w:cs="Arial" w:eastAsia="Arial" w:hAnsi="Arial"/>
          <w:sz w:val="22"/>
          <w:szCs w:val="22"/>
          <w:color w:val="auto"/>
        </w:rPr>
      </w:pPr>
    </w:p>
    <w:p>
      <w:pPr>
        <w:jc w:val="both"/>
        <w:ind w:left="580" w:hanging="319"/>
        <w:spacing w:after="0" w:line="259"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clause (a) of the definition of “Benchmark Transition Event,” the later of (x) the date of the public statement or publication of information referenced therein and (y) the date on which the administrator of such Benchmark (or the published component used in the calculation thereof) permanently or indefinitely ceases to provide all Available Tenors of such Benchmark (or such component thereof);</w:t>
      </w:r>
    </w:p>
    <w:p>
      <w:pPr>
        <w:spacing w:after="0" w:line="213" w:lineRule="exact"/>
        <w:rPr>
          <w:rFonts w:ascii="Arial" w:cs="Arial" w:eastAsia="Arial" w:hAnsi="Arial"/>
          <w:sz w:val="18"/>
          <w:szCs w:val="18"/>
          <w:color w:val="auto"/>
        </w:rPr>
      </w:pPr>
    </w:p>
    <w:p>
      <w:pPr>
        <w:ind w:left="580" w:hanging="319"/>
        <w:spacing w:after="0" w:line="277"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clause (b) of the definition of “Benchmark Transition Event,” the date of the public statement or publication of information referenced therein;or</w:t>
      </w:r>
    </w:p>
    <w:p>
      <w:pPr>
        <w:spacing w:after="0" w:line="197" w:lineRule="exact"/>
        <w:rPr>
          <w:rFonts w:ascii="Arial" w:cs="Arial" w:eastAsia="Arial" w:hAnsi="Arial"/>
          <w:sz w:val="18"/>
          <w:szCs w:val="18"/>
          <w:color w:val="auto"/>
        </w:rPr>
      </w:pPr>
    </w:p>
    <w:p>
      <w:pPr>
        <w:jc w:val="both"/>
        <w:ind w:left="540" w:hanging="279"/>
        <w:spacing w:after="0" w:line="286" w:lineRule="auto"/>
        <w:tabs>
          <w:tab w:leader="none" w:pos="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in the case of an Early Opt-in Election, the sixth (6th) Business Day after the date notice of such Early Opt-in Election is provided to the Borrower, so long as the Bank has not received, by 5:00 p.m. (ET) on the fifth (5th) Business Day after the date notice of such Early Opt-in Election is provided to the Borrower, written notice of objection to such Early Opt-in Election from the Borrower.</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w:t>
      </w:r>
    </w:p>
    <w:p>
      <w:pPr>
        <w:spacing w:after="0" w:line="1" w:lineRule="exact"/>
        <w:rPr>
          <w:sz w:val="20"/>
          <w:szCs w:val="20"/>
          <w:color w:val="auto"/>
        </w:rPr>
      </w:pPr>
    </w:p>
    <w:p>
      <w:pPr>
        <w:jc w:val="both"/>
        <w:spacing w:after="0" w:line="287" w:lineRule="auto"/>
        <w:tabs>
          <w:tab w:leader="none" w:pos="328"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4" w:lineRule="exact"/>
        <w:rPr>
          <w:sz w:val="20"/>
          <w:szCs w:val="20"/>
          <w:color w:val="auto"/>
        </w:rPr>
      </w:pPr>
    </w:p>
    <w:p>
      <w:pPr>
        <w:jc w:val="both"/>
        <w:spacing w:after="0" w:line="273" w:lineRule="auto"/>
        <w:tabs>
          <w:tab w:leader="none" w:pos="378"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 xml:space="preserve">“Benchmark Transition Event” </w:t>
      </w:r>
      <w:r>
        <w:rPr>
          <w:rFonts w:ascii="Arial" w:cs="Arial" w:eastAsia="Arial" w:hAnsi="Arial"/>
          <w:sz w:val="19"/>
          <w:szCs w:val="19"/>
          <w:color w:val="auto"/>
        </w:rPr>
        <w:t>means, with respect to any then-current Benchmark, the occurrence of a public</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indicating that representativeness will not be restored.</w:t>
      </w:r>
    </w:p>
    <w:p>
      <w:pPr>
        <w:spacing w:after="0" w:line="182" w:lineRule="exact"/>
        <w:rPr>
          <w:rFonts w:ascii="Arial" w:cs="Arial" w:eastAsia="Arial" w:hAnsi="Arial"/>
          <w:sz w:val="19"/>
          <w:szCs w:val="19"/>
          <w:color w:val="auto"/>
        </w:rPr>
      </w:pPr>
    </w:p>
    <w:p>
      <w:pPr>
        <w:jc w:val="both"/>
        <w:spacing w:after="0" w:line="283" w:lineRule="auto"/>
        <w:tabs>
          <w:tab w:leader="none" w:pos="429"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 xml:space="preserve">“Benchmark Unavailability Period” </w:t>
      </w:r>
      <w:r>
        <w:rPr>
          <w:rFonts w:ascii="Arial" w:cs="Arial" w:eastAsia="Arial" w:hAnsi="Arial"/>
          <w:sz w:val="19"/>
          <w:szCs w:val="19"/>
          <w:color w:val="auto"/>
        </w:rPr>
        <w:t>means the period (if any) (x) beginning at the time that a Benchmark</w:t>
      </w:r>
      <w:r>
        <w:rPr>
          <w:rFonts w:ascii="Arial" w:cs="Arial" w:eastAsia="Arial" w:hAnsi="Arial"/>
          <w:sz w:val="19"/>
          <w:szCs w:val="19"/>
          <w:b w:val="1"/>
          <w:bCs w:val="1"/>
          <w:color w:val="auto"/>
        </w:rPr>
        <w:t xml:space="preserve"> </w:t>
      </w:r>
      <w:r>
        <w:rPr>
          <w:rFonts w:ascii="Arial" w:cs="Arial" w:eastAsia="Arial" w:hAnsi="Arial"/>
          <w:sz w:val="19"/>
          <w:szCs w:val="19"/>
          <w:color w:val="auto"/>
        </w:rPr>
        <w:t>Replacement Date pursuant to clauses (a) or (b) of that definition has occurred if, at such time, no Benchmark Replacement has replaced the then-current Benchmark for all purposes hereunder and under any Loan Document in accordance with this Section and (y) ending at the time that a Benchmark Replacement has replaced the then-current Benchmark for all purposes hereunder and under any Loan Document in accordance with this Section.</w:t>
      </w:r>
    </w:p>
    <w:p>
      <w:pPr>
        <w:spacing w:after="0" w:line="169" w:lineRule="exact"/>
        <w:rPr>
          <w:rFonts w:ascii="Arial" w:cs="Arial" w:eastAsia="Arial" w:hAnsi="Arial"/>
          <w:sz w:val="19"/>
          <w:szCs w:val="19"/>
          <w:color w:val="auto"/>
        </w:rPr>
      </w:pPr>
    </w:p>
    <w:p>
      <w:pPr>
        <w:jc w:val="both"/>
        <w:spacing w:after="0" w:line="243" w:lineRule="auto"/>
        <w:tabs>
          <w:tab w:leader="none" w:pos="438"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 any day other than Saturday, Sunday or another day on which commercial banking</w:t>
      </w:r>
      <w:r>
        <w:rPr>
          <w:rFonts w:ascii="Arial" w:cs="Arial" w:eastAsia="Arial" w:hAnsi="Arial"/>
          <w:sz w:val="22"/>
          <w:szCs w:val="22"/>
          <w:b w:val="1"/>
          <w:bCs w:val="1"/>
          <w:color w:val="auto"/>
        </w:rPr>
        <w:t xml:space="preserve"> </w:t>
      </w:r>
      <w:r>
        <w:rPr>
          <w:rFonts w:ascii="Arial" w:cs="Arial" w:eastAsia="Arial" w:hAnsi="Arial"/>
          <w:sz w:val="22"/>
          <w:szCs w:val="22"/>
          <w:color w:val="auto"/>
        </w:rPr>
        <w:t>institutions in New York, New York are authorized or required by law or other governmental action to remain closed for business.</w:t>
      </w:r>
    </w:p>
    <w:p>
      <w:pPr>
        <w:spacing w:after="0" w:line="203" w:lineRule="exact"/>
        <w:rPr>
          <w:rFonts w:ascii="Arial" w:cs="Arial" w:eastAsia="Arial" w:hAnsi="Arial"/>
          <w:sz w:val="22"/>
          <w:szCs w:val="22"/>
          <w:color w:val="auto"/>
        </w:rPr>
      </w:pPr>
    </w:p>
    <w:p>
      <w:pPr>
        <w:jc w:val="both"/>
        <w:spacing w:after="0" w:line="243" w:lineRule="auto"/>
        <w:tabs>
          <w:tab w:leader="none" w:pos="448"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 xml:space="preserve">“Corresponding Tenor” </w:t>
      </w:r>
      <w:r>
        <w:rPr>
          <w:rFonts w:ascii="Arial" w:cs="Arial" w:eastAsia="Arial" w:hAnsi="Arial"/>
          <w:sz w:val="22"/>
          <w:szCs w:val="22"/>
          <w:color w:val="auto"/>
        </w:rPr>
        <w:t>with respect to any Available Tenor means, as applicable, either a tenor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overnight) or an interest payment period having approximately the same length (disregarding business day adjustment) as such Available Tenor.</w:t>
      </w:r>
    </w:p>
    <w:p>
      <w:pPr>
        <w:spacing w:after="0" w:line="203" w:lineRule="exact"/>
        <w:rPr>
          <w:rFonts w:ascii="Arial" w:cs="Arial" w:eastAsia="Arial" w:hAnsi="Arial"/>
          <w:sz w:val="22"/>
          <w:szCs w:val="22"/>
          <w:color w:val="auto"/>
        </w:rPr>
      </w:pPr>
    </w:p>
    <w:p>
      <w:pPr>
        <w:jc w:val="both"/>
        <w:spacing w:after="0" w:line="237" w:lineRule="auto"/>
        <w:tabs>
          <w:tab w:leader="none" w:pos="442"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 xml:space="preserve">“Daily Simple SOFR” </w:t>
      </w:r>
      <w:r>
        <w:rPr>
          <w:rFonts w:ascii="Arial" w:cs="Arial" w:eastAsia="Arial" w:hAnsi="Arial"/>
          <w:sz w:val="22"/>
          <w:szCs w:val="22"/>
          <w:color w:val="auto"/>
        </w:rPr>
        <w:t>means, for any day, SOFR, with the conventions for this rate (which will include a</w:t>
      </w:r>
      <w:r>
        <w:rPr>
          <w:rFonts w:ascii="Arial" w:cs="Arial" w:eastAsia="Arial" w:hAnsi="Arial"/>
          <w:sz w:val="22"/>
          <w:szCs w:val="22"/>
          <w:b w:val="1"/>
          <w:bCs w:val="1"/>
          <w:color w:val="auto"/>
        </w:rPr>
        <w:t xml:space="preserve"> </w:t>
      </w:r>
      <w:r>
        <w:rPr>
          <w:rFonts w:ascii="Arial" w:cs="Arial" w:eastAsia="Arial" w:hAnsi="Arial"/>
          <w:sz w:val="22"/>
          <w:szCs w:val="22"/>
          <w:color w:val="auto"/>
        </w:rPr>
        <w:t>lookback) being established by the Bank in accordance with the conventions for this rate selected or recommended by the Relevant Governmental Body for determining “Daily Simple SOFR” for business loans; provided, that if the Bank decides that any such convention is not administratively feasible for the Bank, then the Bank may establish another convention in its reasonable discretion.</w:t>
      </w:r>
    </w:p>
    <w:p>
      <w:pPr>
        <w:spacing w:after="0" w:line="208" w:lineRule="exact"/>
        <w:rPr>
          <w:rFonts w:ascii="Arial" w:cs="Arial" w:eastAsia="Arial" w:hAnsi="Arial"/>
          <w:sz w:val="22"/>
          <w:szCs w:val="22"/>
          <w:color w:val="auto"/>
        </w:rPr>
      </w:pPr>
    </w:p>
    <w:p>
      <w:pPr>
        <w:spacing w:after="0" w:line="280" w:lineRule="auto"/>
        <w:tabs>
          <w:tab w:leader="none" w:pos="427"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Early Opt-in Election</w:t>
      </w:r>
      <w:r>
        <w:rPr>
          <w:rFonts w:ascii="Arial" w:cs="Arial" w:eastAsia="Arial" w:hAnsi="Arial"/>
          <w:sz w:val="21"/>
          <w:szCs w:val="21"/>
          <w:color w:val="auto"/>
        </w:rPr>
        <w:t>” means, if the then-current Benchmark is LIBOR, the election by the Bank to trigger a fallback from LIBOR and the provision by the Bank of written notice of such election to the Borrower.</w:t>
      </w:r>
    </w:p>
    <w:p>
      <w:pPr>
        <w:spacing w:after="0" w:line="165" w:lineRule="exact"/>
        <w:rPr>
          <w:rFonts w:ascii="Arial" w:cs="Arial" w:eastAsia="Arial" w:hAnsi="Arial"/>
          <w:sz w:val="21"/>
          <w:szCs w:val="21"/>
          <w:color w:val="auto"/>
        </w:rPr>
      </w:pPr>
    </w:p>
    <w:p>
      <w:pPr>
        <w:jc w:val="both"/>
        <w:spacing w:after="0" w:line="280" w:lineRule="auto"/>
        <w:tabs>
          <w:tab w:leader="none" w:pos="419"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 xml:space="preserve">“Floor” </w:t>
      </w:r>
      <w:r>
        <w:rPr>
          <w:rFonts w:ascii="Arial" w:cs="Arial" w:eastAsia="Arial" w:hAnsi="Arial"/>
          <w:sz w:val="19"/>
          <w:szCs w:val="19"/>
          <w:color w:val="auto"/>
        </w:rPr>
        <w:t>means the benchmark rate floor, if any, provided in the Loan Documents initially (as of the execution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Loan Documents, the modification, amendment or renewal of the Loan Documents or otherwise) with respect to</w:t>
      </w:r>
    </w:p>
    <w:p>
      <w:pPr>
        <w:spacing w:after="0"/>
        <w:rPr>
          <w:rFonts w:ascii="Arial" w:cs="Arial" w:eastAsia="Arial" w:hAnsi="Arial"/>
          <w:sz w:val="19"/>
          <w:szCs w:val="19"/>
          <w:color w:val="auto"/>
        </w:rPr>
      </w:pPr>
      <w:r>
        <w:rPr>
          <w:rFonts w:ascii="Arial" w:cs="Arial" w:eastAsia="Arial" w:hAnsi="Arial"/>
          <w:sz w:val="22"/>
          <w:szCs w:val="22"/>
          <w:color w:val="auto"/>
        </w:rPr>
        <w:t>LIBOR.</w:t>
      </w:r>
    </w:p>
    <w:p>
      <w:pPr>
        <w:sectPr>
          <w:pgSz w:w="11900" w:h="16838" w:orient="portrait"/>
          <w:cols w:equalWidth="0" w:num="1">
            <w:col w:w="10260"/>
          </w:cols>
          <w:pgMar w:left="1300" w:top="112" w:right="339" w:bottom="1440" w:gutter="0" w:footer="0" w:header="0"/>
        </w:sectPr>
      </w:pPr>
    </w:p>
    <w:p>
      <w:pPr>
        <w:spacing w:after="0" w:line="393"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12" w:right="339" w:bottom="1440" w:gutter="0" w:footer="0" w:header="0"/>
          <w:type w:val="continuous"/>
        </w:sectPr>
      </w:pPr>
    </w:p>
    <w:bookmarkStart w:id="44" w:name="page45"/>
    <w:bookmarkEnd w:id="44"/>
    <w:p>
      <w:pPr>
        <w:jc w:val="both"/>
        <w:ind w:left="972"/>
        <w:spacing w:after="0" w:line="239" w:lineRule="auto"/>
        <w:tabs>
          <w:tab w:leader="none" w:pos="1416" w:val="left"/>
        </w:tabs>
        <w:numPr>
          <w:ilvl w:val="1"/>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Definitions”</w:t>
      </w:r>
      <w:r>
        <w:rPr>
          <w:rFonts w:ascii="Arial" w:cs="Arial" w:eastAsia="Arial" w:hAnsi="Arial"/>
          <w:sz w:val="22"/>
          <w:szCs w:val="22"/>
          <w:color w:val="auto"/>
        </w:rPr>
        <w:t xml:space="preserve">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07" w:lineRule="exact"/>
        <w:rPr>
          <w:rFonts w:ascii="Arial" w:cs="Arial" w:eastAsia="Arial" w:hAnsi="Arial"/>
          <w:sz w:val="22"/>
          <w:szCs w:val="22"/>
          <w:color w:val="auto"/>
        </w:rPr>
      </w:pPr>
    </w:p>
    <w:p>
      <w:pPr>
        <w:ind w:left="1392" w:hanging="420"/>
        <w:spacing w:after="0"/>
        <w:tabs>
          <w:tab w:leader="none" w:pos="1392" w:val="left"/>
        </w:tabs>
        <w:numPr>
          <w:ilvl w:val="1"/>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“LIBOR” </w:t>
      </w:r>
      <w:r>
        <w:rPr>
          <w:rFonts w:ascii="Arial" w:cs="Arial" w:eastAsia="Arial" w:hAnsi="Arial"/>
          <w:sz w:val="21"/>
          <w:szCs w:val="21"/>
          <w:color w:val="auto"/>
        </w:rPr>
        <w:t>means the London interbank offered rate for U.S. dollars as defined in the Loan Documents.</w:t>
      </w:r>
    </w:p>
    <w:p>
      <w:pPr>
        <w:spacing w:after="0" w:line="244" w:lineRule="exact"/>
        <w:rPr>
          <w:rFonts w:ascii="Arial" w:cs="Arial" w:eastAsia="Arial" w:hAnsi="Arial"/>
          <w:sz w:val="21"/>
          <w:szCs w:val="21"/>
          <w:color w:val="auto"/>
        </w:rPr>
      </w:pPr>
    </w:p>
    <w:p>
      <w:pPr>
        <w:jc w:val="both"/>
        <w:ind w:left="972"/>
        <w:spacing w:after="0" w:line="254" w:lineRule="auto"/>
        <w:tabs>
          <w:tab w:leader="none" w:pos="1402" w:val="left"/>
        </w:tabs>
        <w:numPr>
          <w:ilvl w:val="1"/>
          <w:numId w:val="20"/>
        </w:numPr>
        <w:rPr>
          <w:rFonts w:ascii="Arial" w:cs="Arial" w:eastAsia="Arial" w:hAnsi="Arial"/>
          <w:sz w:val="21"/>
          <w:szCs w:val="21"/>
          <w:color w:val="auto"/>
        </w:rPr>
      </w:pPr>
      <w:r>
        <w:rPr>
          <w:rFonts w:ascii="Arial" w:cs="Arial" w:eastAsia="Arial" w:hAnsi="Arial"/>
          <w:sz w:val="21"/>
          <w:szCs w:val="21"/>
          <w:b w:val="1"/>
          <w:bCs w:val="1"/>
          <w:color w:val="auto"/>
        </w:rPr>
        <w:t xml:space="preserve">“Reference Time” </w:t>
      </w:r>
      <w:r>
        <w:rPr>
          <w:rFonts w:ascii="Arial" w:cs="Arial" w:eastAsia="Arial" w:hAnsi="Arial"/>
          <w:sz w:val="21"/>
          <w:szCs w:val="21"/>
          <w:color w:val="auto"/>
        </w:rPr>
        <w:t>with respect to any setting of the then-current Benchmark means (i) if such Benchmark is</w:t>
      </w:r>
      <w:r>
        <w:rPr>
          <w:rFonts w:ascii="Arial" w:cs="Arial" w:eastAsia="Arial" w:hAnsi="Arial"/>
          <w:sz w:val="21"/>
          <w:szCs w:val="21"/>
          <w:b w:val="1"/>
          <w:bCs w:val="1"/>
          <w:color w:val="auto"/>
        </w:rPr>
        <w:t xml:space="preserve"> </w:t>
      </w:r>
      <w:r>
        <w:rPr>
          <w:rFonts w:ascii="Arial" w:cs="Arial" w:eastAsia="Arial" w:hAnsi="Arial"/>
          <w:sz w:val="21"/>
          <w:szCs w:val="21"/>
          <w:color w:val="auto"/>
        </w:rPr>
        <w:t>LIBOR, 11:00 a.m. (London time) on the day that is two London banking days preceding the date of such setting (except as may otherwise be provided in the Loan Documents for overnight LIBOR pricing), and (ii) if such Benchmark is not LIBOR, the time determined by the Bank in its reasonable discretion.</w:t>
      </w:r>
    </w:p>
    <w:p>
      <w:pPr>
        <w:spacing w:after="0" w:line="192" w:lineRule="exact"/>
        <w:rPr>
          <w:rFonts w:ascii="Arial" w:cs="Arial" w:eastAsia="Arial" w:hAnsi="Arial"/>
          <w:sz w:val="21"/>
          <w:szCs w:val="21"/>
          <w:color w:val="auto"/>
        </w:rPr>
      </w:pPr>
    </w:p>
    <w:p>
      <w:pPr>
        <w:jc w:val="both"/>
        <w:ind w:left="972"/>
        <w:spacing w:after="0" w:line="300" w:lineRule="auto"/>
        <w:tabs>
          <w:tab w:leader="none" w:pos="1401" w:val="left"/>
        </w:tabs>
        <w:numPr>
          <w:ilvl w:val="1"/>
          <w:numId w:val="20"/>
        </w:numPr>
        <w:rPr>
          <w:rFonts w:ascii="Arial" w:cs="Arial" w:eastAsia="Arial" w:hAnsi="Arial"/>
          <w:sz w:val="19"/>
          <w:szCs w:val="19"/>
          <w:color w:val="auto"/>
        </w:rPr>
      </w:pPr>
      <w:r>
        <w:rPr>
          <w:rFonts w:ascii="Arial" w:cs="Arial" w:eastAsia="Arial" w:hAnsi="Arial"/>
          <w:sz w:val="19"/>
          <w:szCs w:val="19"/>
          <w:b w:val="1"/>
          <w:bCs w:val="1"/>
          <w:color w:val="auto"/>
        </w:rPr>
        <w:t xml:space="preserve">“Relevant Governmental Body” </w:t>
      </w:r>
      <w:r>
        <w:rPr>
          <w:rFonts w:ascii="Arial" w:cs="Arial" w:eastAsia="Arial" w:hAnsi="Arial"/>
          <w:sz w:val="19"/>
          <w:szCs w:val="19"/>
          <w:color w:val="auto"/>
        </w:rPr>
        <w:t>means the Board of Governors of the Federal Reserve System or the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Reserve Bank of New York, or a committee officially endorsed or convened by the Board of Governors of the Federal Reserve System or the Federal Reserve Bank of New York, or any successor thereto.</w:t>
      </w:r>
    </w:p>
    <w:p>
      <w:pPr>
        <w:spacing w:after="0" w:line="152" w:lineRule="exact"/>
        <w:rPr>
          <w:rFonts w:ascii="Arial" w:cs="Arial" w:eastAsia="Arial" w:hAnsi="Arial"/>
          <w:sz w:val="19"/>
          <w:szCs w:val="19"/>
          <w:color w:val="auto"/>
        </w:rPr>
      </w:pPr>
    </w:p>
    <w:p>
      <w:pPr>
        <w:jc w:val="both"/>
        <w:ind w:left="972"/>
        <w:spacing w:after="0" w:line="243" w:lineRule="auto"/>
        <w:tabs>
          <w:tab w:leader="none" w:pos="1387" w:val="left"/>
        </w:tabs>
        <w:numPr>
          <w:ilvl w:val="1"/>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“SOFR” </w:t>
      </w:r>
      <w:r>
        <w:rPr>
          <w:rFonts w:ascii="Arial" w:cs="Arial" w:eastAsia="Arial" w:hAnsi="Arial"/>
          <w:sz w:val="22"/>
          <w:szCs w:val="22"/>
          <w:color w:val="auto"/>
        </w:rPr>
        <w:t>means, with respect to any Business Day, a rate per annum equal to the secured overnight financing rate</w:t>
      </w:r>
      <w:r>
        <w:rPr>
          <w:rFonts w:ascii="Arial" w:cs="Arial" w:eastAsia="Arial" w:hAnsi="Arial"/>
          <w:sz w:val="22"/>
          <w:szCs w:val="22"/>
          <w:b w:val="1"/>
          <w:bCs w:val="1"/>
          <w:color w:val="auto"/>
        </w:rPr>
        <w:t xml:space="preserve"> </w:t>
      </w:r>
      <w:r>
        <w:rPr>
          <w:rFonts w:ascii="Arial" w:cs="Arial" w:eastAsia="Arial" w:hAnsi="Arial"/>
          <w:sz w:val="22"/>
          <w:szCs w:val="22"/>
          <w:color w:val="auto"/>
        </w:rPr>
        <w:t>for such Business Day published by the SOFR Administrator on the SOFR Administrator’s Website on the immediately succeeding Business Day.</w:t>
      </w:r>
    </w:p>
    <w:p>
      <w:pPr>
        <w:spacing w:after="0" w:line="203" w:lineRule="exact"/>
        <w:rPr>
          <w:rFonts w:ascii="Arial" w:cs="Arial" w:eastAsia="Arial" w:hAnsi="Arial"/>
          <w:sz w:val="22"/>
          <w:szCs w:val="22"/>
          <w:color w:val="auto"/>
        </w:rPr>
      </w:pPr>
    </w:p>
    <w:p>
      <w:pPr>
        <w:ind w:left="1392" w:hanging="420"/>
        <w:spacing w:after="0"/>
        <w:tabs>
          <w:tab w:leader="none" w:pos="1392" w:val="left"/>
        </w:tabs>
        <w:numPr>
          <w:ilvl w:val="1"/>
          <w:numId w:val="20"/>
        </w:numPr>
        <w:rPr>
          <w:rFonts w:ascii="Arial" w:cs="Arial" w:eastAsia="Arial" w:hAnsi="Arial"/>
          <w:sz w:val="19"/>
          <w:szCs w:val="19"/>
          <w:color w:val="auto"/>
        </w:rPr>
      </w:pPr>
      <w:r>
        <w:rPr>
          <w:rFonts w:ascii="Arial" w:cs="Arial" w:eastAsia="Arial" w:hAnsi="Arial"/>
          <w:sz w:val="19"/>
          <w:szCs w:val="19"/>
          <w:b w:val="1"/>
          <w:bCs w:val="1"/>
          <w:color w:val="auto"/>
        </w:rPr>
        <w:t xml:space="preserve">“SOFR Administrator” </w:t>
      </w:r>
      <w:r>
        <w:rPr>
          <w:rFonts w:ascii="Arial" w:cs="Arial" w:eastAsia="Arial" w:hAnsi="Arial"/>
          <w:sz w:val="19"/>
          <w:szCs w:val="19"/>
          <w:color w:val="auto"/>
        </w:rPr>
        <w:t>means the Federal Reserve Bank of New York (or a successor administrator of SOFR).</w:t>
      </w:r>
    </w:p>
    <w:p>
      <w:pPr>
        <w:spacing w:after="0" w:line="267" w:lineRule="exact"/>
        <w:rPr>
          <w:rFonts w:ascii="Arial" w:cs="Arial" w:eastAsia="Arial" w:hAnsi="Arial"/>
          <w:sz w:val="19"/>
          <w:szCs w:val="19"/>
          <w:color w:val="auto"/>
        </w:rPr>
      </w:pPr>
    </w:p>
    <w:p>
      <w:pPr>
        <w:jc w:val="both"/>
        <w:ind w:left="972"/>
        <w:spacing w:after="0" w:line="243" w:lineRule="auto"/>
        <w:tabs>
          <w:tab w:leader="none" w:pos="1407" w:val="left"/>
        </w:tabs>
        <w:numPr>
          <w:ilvl w:val="1"/>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“SOFR Administrator’s Website” </w:t>
      </w:r>
      <w:r>
        <w:rPr>
          <w:rFonts w:ascii="Arial" w:cs="Arial" w:eastAsia="Arial" w:hAnsi="Arial"/>
          <w:sz w:val="22"/>
          <w:szCs w:val="22"/>
          <w:color w:val="auto"/>
        </w:rPr>
        <w:t>means the website of the Federal Reserve Bank of New York, currently at</w:t>
      </w:r>
      <w:r>
        <w:rPr>
          <w:rFonts w:ascii="Arial" w:cs="Arial" w:eastAsia="Arial" w:hAnsi="Arial"/>
          <w:sz w:val="22"/>
          <w:szCs w:val="22"/>
          <w:b w:val="1"/>
          <w:bCs w:val="1"/>
          <w:color w:val="auto"/>
        </w:rPr>
        <w:t xml:space="preserve"> </w:t>
      </w:r>
      <w:r>
        <w:rPr>
          <w:rFonts w:ascii="Arial" w:cs="Arial" w:eastAsia="Arial" w:hAnsi="Arial"/>
          <w:sz w:val="22"/>
          <w:szCs w:val="22"/>
          <w:color w:val="auto"/>
        </w:rPr>
        <w:t>http://www.newyorkfed.org, or any successor source for SOFR identified as such by the SOFR Administrator from time to time.</w:t>
      </w:r>
    </w:p>
    <w:p>
      <w:pPr>
        <w:spacing w:after="0" w:line="203" w:lineRule="exact"/>
        <w:rPr>
          <w:rFonts w:ascii="Arial" w:cs="Arial" w:eastAsia="Arial" w:hAnsi="Arial"/>
          <w:sz w:val="22"/>
          <w:szCs w:val="22"/>
          <w:color w:val="auto"/>
        </w:rPr>
      </w:pPr>
    </w:p>
    <w:p>
      <w:pPr>
        <w:jc w:val="both"/>
        <w:ind w:left="972"/>
        <w:spacing w:after="0" w:line="239" w:lineRule="auto"/>
        <w:tabs>
          <w:tab w:leader="none" w:pos="1389" w:val="left"/>
        </w:tabs>
        <w:numPr>
          <w:ilvl w:val="1"/>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“Term SOFR” </w:t>
      </w:r>
      <w:r>
        <w:rPr>
          <w:rFonts w:ascii="Arial" w:cs="Arial" w:eastAsia="Arial" w:hAnsi="Arial"/>
          <w:sz w:val="22"/>
          <w:szCs w:val="22"/>
          <w:color w:val="auto"/>
        </w:rPr>
        <w:t>means, for the applicable Corresponding Tenor as of the applicable Reference Time, the forward-looking term rate based on SOFR that (i) has been selected or recommended by the Relevant Governmental Body and (ii) is displayed on a screen or other information service that publishes such rate from time to time, as determined by the Bank in its reasonable discretion.</w:t>
      </w:r>
    </w:p>
    <w:p>
      <w:pPr>
        <w:spacing w:after="0" w:line="207" w:lineRule="exact"/>
        <w:rPr>
          <w:rFonts w:ascii="Arial" w:cs="Arial" w:eastAsia="Arial" w:hAnsi="Arial"/>
          <w:sz w:val="22"/>
          <w:szCs w:val="22"/>
          <w:color w:val="auto"/>
        </w:rPr>
      </w:pPr>
    </w:p>
    <w:p>
      <w:pPr>
        <w:ind w:left="972"/>
        <w:spacing w:after="0" w:line="256" w:lineRule="auto"/>
        <w:tabs>
          <w:tab w:leader="none" w:pos="1405" w:val="left"/>
        </w:tabs>
        <w:numPr>
          <w:ilvl w:val="1"/>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“Unadjusted Benchmark Replacement” </w:t>
      </w:r>
      <w:r>
        <w:rPr>
          <w:rFonts w:ascii="Arial" w:cs="Arial" w:eastAsia="Arial" w:hAnsi="Arial"/>
          <w:sz w:val="22"/>
          <w:szCs w:val="22"/>
          <w:color w:val="auto"/>
        </w:rPr>
        <w:t>means the applicable Benchmark Replacement excluding the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Benchmark Replacement Adjustment.</w:t>
      </w:r>
    </w:p>
    <w:p>
      <w:pPr>
        <w:spacing w:after="0" w:line="189" w:lineRule="exact"/>
        <w:rPr>
          <w:rFonts w:ascii="Arial" w:cs="Arial" w:eastAsia="Arial" w:hAnsi="Arial"/>
          <w:sz w:val="22"/>
          <w:szCs w:val="22"/>
          <w:color w:val="auto"/>
        </w:rPr>
      </w:pPr>
    </w:p>
    <w:p>
      <w:pPr>
        <w:jc w:val="both"/>
        <w:ind w:left="-8" w:firstLine="8"/>
        <w:spacing w:after="0" w:line="273" w:lineRule="auto"/>
        <w:tabs>
          <w:tab w:leader="none" w:pos="539"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RATIFICATION. </w:t>
      </w:r>
      <w:r>
        <w:rPr>
          <w:rFonts w:ascii="Arial" w:cs="Arial" w:eastAsia="Arial" w:hAnsi="Arial"/>
          <w:sz w:val="19"/>
          <w:szCs w:val="19"/>
          <w:color w:val="auto"/>
        </w:rPr>
        <w:t>Except as expressly set forth herein, all terms, covenants, provisions, representations, warranties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of the Loan Documents, as amended or modified hereby, are ratified, acknowledged, confirmed, and continued in full force and effect as if fully restated herein. All provisions in the Loan Documents that are currently worded in such a manner as to be related only to LIBOR, including, without limitation, provisions relating to any increased costs, illegality or temporary unavailability of LIBOR, are amended hereby to facilitate the continued application of such provisions to the Benchmark Replacement, if and when applicable, as determined in accordance with the terms hereof. All provisions in the Loan Documents evidencing the applicable interest rate margin for the Loan (the number of percentage points or basis points added to the LIBOR component to determine the applicable interest rate) remain in effect, are hereby ratified and shall not be amended or modified hereby. All provisions (if any) in the Loan Documents that provide for a minimum interest rate or floor, including an all-in minimum interest rate and a minimum index rate for the LIBOR benchmark (for which the Replacement Benchmark shall be substituted) shall remain in effect, are here ratified and shall not be amended or modified hereby.</w:t>
      </w:r>
    </w:p>
    <w:p>
      <w:pPr>
        <w:spacing w:after="0" w:line="182" w:lineRule="exact"/>
        <w:rPr>
          <w:rFonts w:ascii="Arial" w:cs="Arial" w:eastAsia="Arial" w:hAnsi="Arial"/>
          <w:sz w:val="19"/>
          <w:szCs w:val="19"/>
          <w:b w:val="1"/>
          <w:bCs w:val="1"/>
          <w:color w:val="auto"/>
        </w:rPr>
      </w:pPr>
    </w:p>
    <w:p>
      <w:pPr>
        <w:jc w:val="both"/>
        <w:ind w:left="-8" w:firstLine="8"/>
        <w:spacing w:after="0" w:line="237" w:lineRule="auto"/>
        <w:tabs>
          <w:tab w:leader="none" w:pos="566"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CONFIRMATION OF COLLATERAL. </w:t>
      </w:r>
      <w:r>
        <w:rPr>
          <w:rFonts w:ascii="Arial" w:cs="Arial" w:eastAsia="Arial" w:hAnsi="Arial"/>
          <w:sz w:val="22"/>
          <w:szCs w:val="22"/>
          <w:color w:val="auto"/>
        </w:rPr>
        <w:t>Nothing contained herein shall be deemed to be a compromise, satisfaction,</w:t>
      </w:r>
      <w:r>
        <w:rPr>
          <w:rFonts w:ascii="Arial" w:cs="Arial" w:eastAsia="Arial" w:hAnsi="Arial"/>
          <w:sz w:val="22"/>
          <w:szCs w:val="22"/>
          <w:b w:val="1"/>
          <w:bCs w:val="1"/>
          <w:color w:val="auto"/>
        </w:rPr>
        <w:t xml:space="preserve"> </w:t>
      </w:r>
      <w:r>
        <w:rPr>
          <w:rFonts w:ascii="Arial" w:cs="Arial" w:eastAsia="Arial" w:hAnsi="Arial"/>
          <w:sz w:val="22"/>
          <w:szCs w:val="22"/>
          <w:color w:val="auto"/>
        </w:rPr>
        <w:t>accord and satisfaction, novation or release of any of the collateral securing the Loan or the other Loan Documents, or any rights or obligations thereunder, or a waiver by the Bank of any of its rights or remedies under the Loan Documents or at law or in equity. All liens, security interests, rights and remedies granted to the Bank in the collateral and under the Loan Documents are hereby ratified, confirmed and continued.</w:t>
      </w:r>
    </w:p>
    <w:p>
      <w:pPr>
        <w:spacing w:after="0" w:line="208" w:lineRule="exact"/>
        <w:rPr>
          <w:rFonts w:ascii="Arial" w:cs="Arial" w:eastAsia="Arial" w:hAnsi="Arial"/>
          <w:sz w:val="22"/>
          <w:szCs w:val="22"/>
          <w:b w:val="1"/>
          <w:bCs w:val="1"/>
          <w:color w:val="auto"/>
        </w:rPr>
      </w:pPr>
    </w:p>
    <w:p>
      <w:pPr>
        <w:jc w:val="both"/>
        <w:ind w:left="-8" w:firstLine="8"/>
        <w:spacing w:after="0" w:line="239" w:lineRule="auto"/>
        <w:tabs>
          <w:tab w:leader="none" w:pos="4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Borrower hereby represents and warrants to the Bank that (i) the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and performance of this ratification has been duly and properly authorized; (ii) the person signing on behalf of the Borrower has the authority to do so; and (iii) this Amendment constitutes the legal, valid and binding obligation of such Borrower enforceable in accordance with its terms.</w:t>
      </w:r>
    </w:p>
    <w:p>
      <w:pPr>
        <w:sectPr>
          <w:pgSz w:w="11900" w:h="16838" w:orient="portrait"/>
          <w:cols w:equalWidth="0" w:num="1">
            <w:col w:w="11232"/>
          </w:cols>
          <w:pgMar w:left="328" w:top="112" w:right="339" w:bottom="1440" w:gutter="0" w:footer="0" w:header="0"/>
        </w:sectPr>
      </w:pPr>
    </w:p>
    <w:p>
      <w:pPr>
        <w:spacing w:after="0" w:line="392"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type w:val="continuous"/>
        </w:sectPr>
      </w:pPr>
    </w:p>
    <w:bookmarkStart w:id="45" w:name="page46"/>
    <w:bookmarkEnd w:id="45"/>
    <w:p>
      <w:pPr>
        <w:jc w:val="both"/>
        <w:ind w:firstLine="8"/>
        <w:spacing w:after="0" w:line="271" w:lineRule="auto"/>
        <w:tabs>
          <w:tab w:leader="none" w:pos="576"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ACKNOWLEDGMENT, WAIVER AND RELEASE. </w:t>
      </w:r>
      <w:r>
        <w:rPr>
          <w:rFonts w:ascii="Arial" w:cs="Arial" w:eastAsia="Arial" w:hAnsi="Arial"/>
          <w:sz w:val="19"/>
          <w:szCs w:val="19"/>
          <w:color w:val="auto"/>
        </w:rPr>
        <w:t>In consideration of the Bank’s amendment to the Loan, the</w:t>
      </w:r>
      <w:r>
        <w:rPr>
          <w:rFonts w:ascii="Arial" w:cs="Arial" w:eastAsia="Arial" w:hAnsi="Arial"/>
          <w:sz w:val="19"/>
          <w:szCs w:val="19"/>
          <w:b w:val="1"/>
          <w:bCs w:val="1"/>
          <w:color w:val="auto"/>
        </w:rPr>
        <w:t xml:space="preserve"> </w:t>
      </w:r>
      <w:r>
        <w:rPr>
          <w:rFonts w:ascii="Arial" w:cs="Arial" w:eastAsia="Arial" w:hAnsi="Arial"/>
          <w:sz w:val="19"/>
          <w:szCs w:val="19"/>
          <w:color w:val="auto"/>
        </w:rPr>
        <w:t>covenants and agreements contained herein, and for other valuable consideration, the receipt and sufficiency of which are hereby acknowledged Borrower hereby confirms, acknowledges and agrees that (i) when LIBOR ceases to exist or is deemed nonrepresentative, it will not be possible for the Bank to continue to charge interest at the LIBOR-based rate set forth in the Loan Documents, (ii) the Benchmark Replacement is a commercially reasonable substitute for, and a commercially substantial equivalent for, LIBOR and (iii) the use of the Benchmark Replacement as provided hereunder shall constitute a commercially reasonable, comparable or analogous substitute for LIBOR under or in any of the Loan Documents and Borrower hereby waives and releases the Bank, its employees, officers and directors from any and all Claims (as defined below) with respect to the discontinuation of the charging interest based on LIBOR and the outcome of the transition to the Benchmark Replacement in accordance with the terms of this Amendment. Borrower further confirms, acknowledges and agrees that as of the date hereof it has no claims or causes of action including, but not limited to offsets, credits, counterclaims, actions, defenses, affirmative defenses, suits, rights, causes of action, lawsuits, set-offs, costs, losses, controversies, agreements, promises and demands, or liabilities, of whatever kind or character (collectively “Claims”) against the Bank relating to the Loan. As used herein, Claims shall have the broadest possible meaning and include all defenses to enforcement of the Loan Documents. To the extent that any Claim may exist or might hereafter arise based on facts known or that should have been known that exist as of this date, Borrower hereby expressly and knowingly waives and releases such Claim.</w:t>
      </w:r>
    </w:p>
    <w:p>
      <w:pPr>
        <w:spacing w:after="0" w:line="200" w:lineRule="exact"/>
        <w:rPr>
          <w:rFonts w:ascii="Arial" w:cs="Arial" w:eastAsia="Arial" w:hAnsi="Arial"/>
          <w:sz w:val="19"/>
          <w:szCs w:val="19"/>
          <w:b w:val="1"/>
          <w:bCs w:val="1"/>
          <w:color w:val="auto"/>
        </w:rPr>
      </w:pPr>
    </w:p>
    <w:p>
      <w:pPr>
        <w:spacing w:after="0" w:line="230" w:lineRule="exact"/>
        <w:rPr>
          <w:rFonts w:ascii="Arial" w:cs="Arial" w:eastAsia="Arial" w:hAnsi="Arial"/>
          <w:sz w:val="19"/>
          <w:szCs w:val="19"/>
          <w:b w:val="1"/>
          <w:bCs w:val="1"/>
          <w:color w:val="auto"/>
        </w:rPr>
      </w:pPr>
    </w:p>
    <w:p>
      <w:pPr>
        <w:ind w:left="500" w:hanging="492"/>
        <w:spacing w:after="0"/>
        <w:tabs>
          <w:tab w:leader="none" w:pos="50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33" w:lineRule="exact"/>
        <w:rPr>
          <w:sz w:val="20"/>
          <w:szCs w:val="20"/>
          <w:color w:val="auto"/>
        </w:rPr>
      </w:pPr>
    </w:p>
    <w:p>
      <w:pPr>
        <w:jc w:val="both"/>
        <w:ind w:firstLine="8"/>
        <w:spacing w:after="0" w:line="251" w:lineRule="auto"/>
        <w:tabs>
          <w:tab w:leader="none" w:pos="714"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 xml:space="preserve">Condition to Effectiveness of this Amendment. </w:t>
      </w:r>
      <w:r>
        <w:rPr>
          <w:rFonts w:ascii="Arial" w:cs="Arial" w:eastAsia="Arial" w:hAnsi="Arial"/>
          <w:sz w:val="21"/>
          <w:szCs w:val="21"/>
          <w:color w:val="auto"/>
        </w:rPr>
        <w:t>This Amendment shall be effective upon the execution hereof by</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provided, however, if the Loan is guaranteed by one or more guarantors, this Amendment shall not be effective until all guarantors have executed a ratification of guaranty acceptable to the Bank and substantially in the form appended to this Amendment, except to the extent the Bank, in its sole discretion, waives any such ratification (as may be evidenced by the implementation by the Bank of the amendments made hereby to the Loan).</w:t>
      </w:r>
    </w:p>
    <w:p>
      <w:pPr>
        <w:spacing w:after="0" w:line="195" w:lineRule="exact"/>
        <w:rPr>
          <w:rFonts w:ascii="Arial" w:cs="Arial" w:eastAsia="Arial" w:hAnsi="Arial"/>
          <w:sz w:val="21"/>
          <w:szCs w:val="21"/>
          <w:color w:val="auto"/>
        </w:rPr>
      </w:pPr>
    </w:p>
    <w:p>
      <w:pPr>
        <w:ind w:firstLine="8"/>
        <w:spacing w:after="0" w:line="256" w:lineRule="auto"/>
        <w:tabs>
          <w:tab w:leader="none" w:pos="55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References. </w:t>
      </w:r>
      <w:r>
        <w:rPr>
          <w:rFonts w:ascii="Arial" w:cs="Arial" w:eastAsia="Arial" w:hAnsi="Arial"/>
          <w:sz w:val="22"/>
          <w:szCs w:val="22"/>
          <w:color w:val="auto"/>
        </w:rPr>
        <w:t>Subsequent to the date hereof, each and every reference in and to any Loan Document modified hereby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to be a reference to such Loan Document, as so modified.</w:t>
      </w:r>
    </w:p>
    <w:p>
      <w:pPr>
        <w:spacing w:after="0" w:line="189" w:lineRule="exact"/>
        <w:rPr>
          <w:rFonts w:ascii="Arial" w:cs="Arial" w:eastAsia="Arial" w:hAnsi="Arial"/>
          <w:sz w:val="22"/>
          <w:szCs w:val="22"/>
          <w:color w:val="auto"/>
        </w:rPr>
      </w:pPr>
    </w:p>
    <w:p>
      <w:pPr>
        <w:jc w:val="both"/>
        <w:ind w:firstLine="8"/>
        <w:spacing w:after="0" w:line="300" w:lineRule="auto"/>
        <w:tabs>
          <w:tab w:leader="none" w:pos="523"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Fees and Expenses. </w:t>
      </w:r>
      <w:r>
        <w:rPr>
          <w:rFonts w:ascii="Arial" w:cs="Arial" w:eastAsia="Arial" w:hAnsi="Arial"/>
          <w:sz w:val="19"/>
          <w:szCs w:val="19"/>
          <w:color w:val="auto"/>
        </w:rPr>
        <w:t>Borrower agrees to pay all fees, costs, charges and expenses incurred by the Bank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preparation, execution, negotiation and enforcement of this Amendment, including without limitation, the cost of any title rundown, title insurance endorsement, recording taxes, filing fees and the Bank’s reasonable attorneys’ fees.</w:t>
      </w:r>
    </w:p>
    <w:p>
      <w:pPr>
        <w:spacing w:after="0" w:line="152" w:lineRule="exact"/>
        <w:rPr>
          <w:rFonts w:ascii="Arial" w:cs="Arial" w:eastAsia="Arial" w:hAnsi="Arial"/>
          <w:sz w:val="19"/>
          <w:szCs w:val="19"/>
          <w:color w:val="auto"/>
        </w:rPr>
      </w:pPr>
    </w:p>
    <w:p>
      <w:pPr>
        <w:jc w:val="both"/>
        <w:ind w:firstLine="8"/>
        <w:spacing w:after="0" w:line="239" w:lineRule="auto"/>
        <w:tabs>
          <w:tab w:leader="none" w:pos="652"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Entire Agreement. </w:t>
      </w:r>
      <w:r>
        <w:rPr>
          <w:rFonts w:ascii="Arial" w:cs="Arial" w:eastAsia="Arial" w:hAnsi="Arial"/>
          <w:sz w:val="22"/>
          <w:szCs w:val="22"/>
          <w:color w:val="auto"/>
        </w:rPr>
        <w:t>No statements, agreements or representations, oral or written, which may have been made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or to any employee or agent of the Borrower, or to any guarantor or third party, either by the Bank or by any employee or agent acting on the Bank’s behalf, with respect to the modification of the Loan, shall be of any force or effect, except to the extent documented in this Amendment.</w:t>
      </w:r>
    </w:p>
    <w:p>
      <w:pPr>
        <w:spacing w:after="0" w:line="207" w:lineRule="exact"/>
        <w:rPr>
          <w:rFonts w:ascii="Arial" w:cs="Arial" w:eastAsia="Arial" w:hAnsi="Arial"/>
          <w:sz w:val="22"/>
          <w:szCs w:val="22"/>
          <w:color w:val="auto"/>
        </w:rPr>
      </w:pPr>
    </w:p>
    <w:p>
      <w:pPr>
        <w:ind w:firstLine="8"/>
        <w:spacing w:after="0" w:line="256" w:lineRule="auto"/>
        <w:tabs>
          <w:tab w:leader="none" w:pos="661"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Amendment shall be binding upon and inure to the benefit of each of the parties hereto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successors and assigns.</w:t>
      </w:r>
    </w:p>
    <w:p>
      <w:pPr>
        <w:spacing w:after="0" w:line="189" w:lineRule="exact"/>
        <w:rPr>
          <w:rFonts w:ascii="Arial" w:cs="Arial" w:eastAsia="Arial" w:hAnsi="Arial"/>
          <w:sz w:val="22"/>
          <w:szCs w:val="22"/>
          <w:color w:val="auto"/>
        </w:rPr>
      </w:pPr>
    </w:p>
    <w:p>
      <w:pPr>
        <w:ind w:firstLine="8"/>
        <w:spacing w:after="0" w:line="280" w:lineRule="auto"/>
        <w:tabs>
          <w:tab w:leader="none" w:pos="560"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 xml:space="preserve">Governing Law. </w:t>
      </w:r>
      <w:r>
        <w:rPr>
          <w:rFonts w:ascii="Arial" w:cs="Arial" w:eastAsia="Arial" w:hAnsi="Arial"/>
          <w:sz w:val="21"/>
          <w:szCs w:val="21"/>
          <w:color w:val="auto"/>
        </w:rPr>
        <w:t>The provisions of this Amendment shall be construed, interpreted and enforced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laws of the state that govern the applicable Loan Documents as the same may be in effect from time to time.</w:t>
      </w:r>
    </w:p>
    <w:p>
      <w:pPr>
        <w:spacing w:after="0" w:line="165" w:lineRule="exact"/>
        <w:rPr>
          <w:rFonts w:ascii="Arial" w:cs="Arial" w:eastAsia="Arial" w:hAnsi="Arial"/>
          <w:sz w:val="21"/>
          <w:szCs w:val="21"/>
          <w:color w:val="auto"/>
        </w:rPr>
      </w:pPr>
    </w:p>
    <w:p>
      <w:pPr>
        <w:jc w:val="both"/>
        <w:ind w:firstLine="8"/>
        <w:spacing w:after="0" w:line="237" w:lineRule="auto"/>
        <w:tabs>
          <w:tab w:leader="none" w:pos="497"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and Counterparts. </w:t>
      </w:r>
      <w:r>
        <w:rPr>
          <w:rFonts w:ascii="Arial" w:cs="Arial" w:eastAsia="Arial" w:hAnsi="Arial"/>
          <w:sz w:val="22"/>
          <w:szCs w:val="22"/>
          <w:color w:val="auto"/>
        </w:rPr>
        <w:t>If any provision of this Amendment or portion of such provision or the application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to any person or circumstance shall to any extent be held invalid or unenforceable, the remainder of this Amendment (or the remainder of such provision) and the application thereof to other persons or circumstances shall not be affected thereby. The parties may execute this Amendment in one or more counterparts each of which shall be deemed an original, but all of which together shall constitute one and the same instrument.</w:t>
      </w:r>
    </w:p>
    <w:p>
      <w:pPr>
        <w:spacing w:after="0" w:line="208" w:lineRule="exact"/>
        <w:rPr>
          <w:rFonts w:ascii="Arial" w:cs="Arial" w:eastAsia="Arial" w:hAnsi="Arial"/>
          <w:sz w:val="22"/>
          <w:szCs w:val="22"/>
          <w:color w:val="auto"/>
        </w:rPr>
      </w:pPr>
    </w:p>
    <w:p>
      <w:pPr>
        <w:jc w:val="both"/>
        <w:ind w:firstLine="8"/>
        <w:spacing w:after="0" w:line="273" w:lineRule="auto"/>
        <w:tabs>
          <w:tab w:leader="none" w:pos="492"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Electronic Signature. </w:t>
      </w:r>
      <w:r>
        <w:rPr>
          <w:rFonts w:ascii="Arial" w:cs="Arial" w:eastAsia="Arial" w:hAnsi="Arial"/>
          <w:sz w:val="19"/>
          <w:szCs w:val="19"/>
          <w:color w:val="auto"/>
        </w:rPr>
        <w:t>Each person executing this Amendment agrees that the electronic signatures, whether pdf, scanned,</w:t>
      </w:r>
      <w:r>
        <w:rPr>
          <w:rFonts w:ascii="Arial" w:cs="Arial" w:eastAsia="Arial" w:hAnsi="Arial"/>
          <w:sz w:val="19"/>
          <w:szCs w:val="19"/>
          <w:b w:val="1"/>
          <w:bCs w:val="1"/>
          <w:color w:val="auto"/>
        </w:rPr>
        <w:t xml:space="preserve"> </w:t>
      </w:r>
      <w:r>
        <w:rPr>
          <w:rFonts w:ascii="Arial" w:cs="Arial" w:eastAsia="Arial" w:hAnsi="Arial"/>
          <w:sz w:val="19"/>
          <w:szCs w:val="19"/>
          <w:color w:val="auto"/>
        </w:rPr>
        <w:t>digital, encrypted, captured or otherwise attached or imposed hereto, are intended to authenticate this Amendment and to have the same effect, validity and enforceability as manual signatures. Each person signing this Amendment and any ratification of guaranty, in their individual capacity, represents and warrants to and covenants to Bank that said signer is executing this Amendment or ratification of guaranty on behalf of the borrower or guarantor and is duly authorized and empowered to do so and to bind the obligor to the terms hereof. Bank is under no obligation to accept electronic signatures in any form or in any format unless expressly agreed to by Bank pursuant its approved procedures. If Bank accepts an electronic signature or an electronically delivered signature as the binding and effective record of this Amendment, the counterpart acknowledged in writing by Bank shall constitute the record hereof and the original document for the purposes of establishing the provisions hereof and shall be legally admissible under the best evidence rule and binding on and enforceable against each party hereto. The counterpart acknowledged in writing by Bank may be marked “Original” and perfection of a security interest by possession may only be accomplished by possession of the counterpart that bears Bank’s ink signed acknowledgement and is marked “Original.”</w:t>
      </w:r>
    </w:p>
    <w:p>
      <w:pPr>
        <w:spacing w:after="0" w:line="183" w:lineRule="exact"/>
        <w:rPr>
          <w:sz w:val="20"/>
          <w:szCs w:val="20"/>
          <w:color w:val="auto"/>
        </w:rPr>
      </w:pPr>
    </w:p>
    <w:p>
      <w:pPr>
        <w:jc w:val="center"/>
        <w:ind w:right="300"/>
        <w:spacing w:after="0"/>
        <w:rPr>
          <w:sz w:val="20"/>
          <w:szCs w:val="20"/>
          <w:color w:val="auto"/>
        </w:rPr>
      </w:pPr>
      <w:r>
        <w:rPr>
          <w:rFonts w:ascii="Arial" w:cs="Arial" w:eastAsia="Arial" w:hAnsi="Arial"/>
          <w:sz w:val="22"/>
          <w:szCs w:val="22"/>
          <w:i w:val="1"/>
          <w:iCs w:val="1"/>
          <w:color w:val="auto"/>
        </w:rPr>
        <w:t>[Remainder of page intentionally left blank]</w:t>
      </w:r>
    </w:p>
    <w:p>
      <w:pPr>
        <w:sectPr>
          <w:pgSz w:w="11900" w:h="16838" w:orient="portrait"/>
          <w:cols w:equalWidth="0" w:num="1">
            <w:col w:w="11240"/>
          </w:cols>
          <w:pgMar w:left="320" w:top="112" w:right="339" w:bottom="264"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264" w:gutter="0" w:footer="0" w:header="0"/>
          <w:type w:val="continuous"/>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Borrower Signers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The Amendment is hereby executed as of the stated date referenced on page 1 hereof.</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Donegal Group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Jeffrey D Miller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Jeffrey D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Vice President/CFO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jeffmiller@donegalgroup.com</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717-471-5105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Counter Signers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Daniel J May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Daniel J May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340" w:right="1619"/>
        <w:spacing w:after="0" w:line="260" w:lineRule="auto"/>
        <w:rPr>
          <w:sz w:val="20"/>
          <w:szCs w:val="20"/>
          <w:color w:val="auto"/>
        </w:rPr>
      </w:pPr>
      <w:r>
        <w:rPr>
          <w:rFonts w:ascii="Arial" w:cs="Arial" w:eastAsia="Arial" w:hAnsi="Arial"/>
          <w:sz w:val="18"/>
          <w:szCs w:val="18"/>
          <w:color w:val="auto"/>
        </w:rPr>
        <w:t>M&amp;T Bank (a/k/a Manufacturers and Traders Trust Company), a New York banking corporation dmay@mtb.com 717-577-7868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8" w:name="page49"/>
    <w:bookmarkEnd w:id="48"/>
    <w:p>
      <w:pPr>
        <w:ind w:left="99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 Kevin G. Burke, certify that:</w:t>
      </w:r>
    </w:p>
    <w:p>
      <w:pPr>
        <w:spacing w:after="0" w:line="233" w:lineRule="exact"/>
        <w:rPr>
          <w:sz w:val="20"/>
          <w:szCs w:val="20"/>
          <w:color w:val="auto"/>
        </w:rPr>
      </w:pPr>
    </w:p>
    <w:p>
      <w:pPr>
        <w:ind w:left="540" w:hanging="208"/>
        <w:spacing w:after="0"/>
        <w:tabs>
          <w:tab w:leader="none" w:pos="5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for the quarter ended June 30, 2023 of Donegal Group Inc.;</w:t>
      </w:r>
    </w:p>
    <w:p>
      <w:pPr>
        <w:spacing w:after="0" w:line="244" w:lineRule="exact"/>
        <w:rPr>
          <w:rFonts w:ascii="Arial" w:cs="Arial" w:eastAsia="Arial" w:hAnsi="Arial"/>
          <w:sz w:val="21"/>
          <w:szCs w:val="21"/>
          <w:color w:val="auto"/>
        </w:rPr>
      </w:pPr>
    </w:p>
    <w:p>
      <w:pPr>
        <w:jc w:val="both"/>
        <w:ind w:firstLine="332"/>
        <w:spacing w:after="0"/>
        <w:tabs>
          <w:tab w:leader="none" w:pos="544" w:val="left"/>
        </w:tabs>
        <w:numPr>
          <w:ilvl w:val="0"/>
          <w:numId w:val="2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jc w:val="both"/>
        <w:ind w:firstLine="332"/>
        <w:spacing w:after="0"/>
        <w:tabs>
          <w:tab w:leader="none" w:pos="550" w:val="left"/>
        </w:tabs>
        <w:numPr>
          <w:ilvl w:val="0"/>
          <w:numId w:val="2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jc w:val="both"/>
        <w:ind w:firstLine="332"/>
        <w:spacing w:after="0"/>
        <w:tabs>
          <w:tab w:leader="none" w:pos="57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jc w:val="both"/>
        <w:ind w:firstLine="494"/>
        <w:spacing w:after="0" w:line="297" w:lineRule="auto"/>
        <w:tabs>
          <w:tab w:leader="none" w:pos="805" w:val="left"/>
        </w:tabs>
        <w:numPr>
          <w:ilvl w:val="1"/>
          <w:numId w:val="2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jc w:val="both"/>
        <w:ind w:firstLine="494"/>
        <w:spacing w:after="0" w:line="297" w:lineRule="auto"/>
        <w:tabs>
          <w:tab w:leader="none" w:pos="814" w:val="left"/>
        </w:tabs>
        <w:numPr>
          <w:ilvl w:val="1"/>
          <w:numId w:val="2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jc w:val="both"/>
        <w:ind w:firstLine="494"/>
        <w:spacing w:after="0"/>
        <w:tabs>
          <w:tab w:leader="none" w:pos="827" w:val="left"/>
        </w:tabs>
        <w:numPr>
          <w:ilvl w:val="1"/>
          <w:numId w:val="2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jc w:val="both"/>
        <w:ind w:firstLine="494"/>
        <w:spacing w:after="0" w:line="297" w:lineRule="auto"/>
        <w:tabs>
          <w:tab w:leader="none" w:pos="807" w:val="left"/>
        </w:tabs>
        <w:numPr>
          <w:ilvl w:val="1"/>
          <w:numId w:val="2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9"/>
          <w:szCs w:val="19"/>
          <w:color w:val="auto"/>
        </w:rPr>
      </w:pPr>
    </w:p>
    <w:p>
      <w:pPr>
        <w:jc w:val="both"/>
        <w:ind w:firstLine="332"/>
        <w:spacing w:after="0"/>
        <w:tabs>
          <w:tab w:leader="none" w:pos="55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Arial" w:cs="Arial" w:eastAsia="Arial" w:hAnsi="Arial"/>
          <w:sz w:val="22"/>
          <w:szCs w:val="22"/>
          <w:color w:val="auto"/>
        </w:rPr>
      </w:pPr>
    </w:p>
    <w:p>
      <w:pPr>
        <w:jc w:val="both"/>
        <w:ind w:firstLine="494"/>
        <w:spacing w:after="0"/>
        <w:tabs>
          <w:tab w:leader="none" w:pos="819" w:val="left"/>
        </w:tabs>
        <w:numPr>
          <w:ilvl w:val="1"/>
          <w:numId w:val="2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firstLine="494"/>
        <w:spacing w:after="0" w:line="250" w:lineRule="auto"/>
        <w:tabs>
          <w:tab w:leader="none" w:pos="802" w:val="left"/>
        </w:tabs>
        <w:numPr>
          <w:ilvl w:val="1"/>
          <w:numId w:val="2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Date:August 4, 2023</w:t>
      </w:r>
      <w:r>
        <w:rPr>
          <w:sz w:val="20"/>
          <w:szCs w:val="20"/>
          <w:color w:val="auto"/>
        </w:rPr>
        <w:tab/>
      </w:r>
      <w:r>
        <w:rPr>
          <w:rFonts w:ascii="Arial" w:cs="Arial" w:eastAsia="Arial" w:hAnsi="Arial"/>
          <w:sz w:val="16"/>
          <w:szCs w:val="16"/>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G. Burke,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9" w:name="page50"/>
    <w:bookmarkEnd w:id="49"/>
    <w:p>
      <w:pPr>
        <w:ind w:left="99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 Jeffrey D. Miller, certify that:</w:t>
      </w:r>
    </w:p>
    <w:p>
      <w:pPr>
        <w:spacing w:after="0" w:line="233" w:lineRule="exact"/>
        <w:rPr>
          <w:sz w:val="20"/>
          <w:szCs w:val="20"/>
          <w:color w:val="auto"/>
        </w:rPr>
      </w:pPr>
    </w:p>
    <w:p>
      <w:pPr>
        <w:ind w:left="540" w:hanging="208"/>
        <w:spacing w:after="0"/>
        <w:tabs>
          <w:tab w:leader="none" w:pos="540" w:val="left"/>
        </w:tabs>
        <w:numPr>
          <w:ilvl w:val="0"/>
          <w:numId w:val="25"/>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for the quarter ended June 30, 2023 of Donegal Group Inc.;</w:t>
      </w:r>
    </w:p>
    <w:p>
      <w:pPr>
        <w:spacing w:after="0" w:line="244" w:lineRule="exact"/>
        <w:rPr>
          <w:rFonts w:ascii="Arial" w:cs="Arial" w:eastAsia="Arial" w:hAnsi="Arial"/>
          <w:sz w:val="21"/>
          <w:szCs w:val="21"/>
          <w:color w:val="auto"/>
        </w:rPr>
      </w:pPr>
    </w:p>
    <w:p>
      <w:pPr>
        <w:jc w:val="both"/>
        <w:ind w:firstLine="332"/>
        <w:spacing w:after="0"/>
        <w:tabs>
          <w:tab w:leader="none" w:pos="544" w:val="left"/>
        </w:tabs>
        <w:numPr>
          <w:ilvl w:val="0"/>
          <w:numId w:val="2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jc w:val="both"/>
        <w:ind w:firstLine="332"/>
        <w:spacing w:after="0"/>
        <w:tabs>
          <w:tab w:leader="none" w:pos="550" w:val="left"/>
        </w:tabs>
        <w:numPr>
          <w:ilvl w:val="0"/>
          <w:numId w:val="2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jc w:val="both"/>
        <w:ind w:firstLine="332"/>
        <w:spacing w:after="0"/>
        <w:tabs>
          <w:tab w:leader="none" w:pos="574"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jc w:val="both"/>
        <w:ind w:firstLine="494"/>
        <w:spacing w:after="0" w:line="297" w:lineRule="auto"/>
        <w:tabs>
          <w:tab w:leader="none" w:pos="805" w:val="left"/>
        </w:tabs>
        <w:numPr>
          <w:ilvl w:val="1"/>
          <w:numId w:val="2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jc w:val="both"/>
        <w:ind w:firstLine="494"/>
        <w:spacing w:after="0" w:line="297" w:lineRule="auto"/>
        <w:tabs>
          <w:tab w:leader="none" w:pos="814" w:val="left"/>
        </w:tabs>
        <w:numPr>
          <w:ilvl w:val="1"/>
          <w:numId w:val="2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jc w:val="both"/>
        <w:ind w:firstLine="494"/>
        <w:spacing w:after="0"/>
        <w:tabs>
          <w:tab w:leader="none" w:pos="827" w:val="left"/>
        </w:tabs>
        <w:numPr>
          <w:ilvl w:val="1"/>
          <w:numId w:val="2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jc w:val="both"/>
        <w:ind w:firstLine="494"/>
        <w:spacing w:after="0" w:line="297" w:lineRule="auto"/>
        <w:tabs>
          <w:tab w:leader="none" w:pos="807" w:val="left"/>
        </w:tabs>
        <w:numPr>
          <w:ilvl w:val="1"/>
          <w:numId w:val="2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9"/>
          <w:szCs w:val="19"/>
          <w:color w:val="auto"/>
        </w:rPr>
      </w:pPr>
    </w:p>
    <w:p>
      <w:pPr>
        <w:jc w:val="both"/>
        <w:ind w:firstLine="332"/>
        <w:spacing w:after="0"/>
        <w:tabs>
          <w:tab w:leader="none" w:pos="55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Arial" w:cs="Arial" w:eastAsia="Arial" w:hAnsi="Arial"/>
          <w:sz w:val="22"/>
          <w:szCs w:val="22"/>
          <w:color w:val="auto"/>
        </w:rPr>
      </w:pPr>
    </w:p>
    <w:p>
      <w:pPr>
        <w:jc w:val="both"/>
        <w:ind w:firstLine="494"/>
        <w:spacing w:after="0"/>
        <w:tabs>
          <w:tab w:leader="none" w:pos="819" w:val="left"/>
        </w:tabs>
        <w:numPr>
          <w:ilvl w:val="1"/>
          <w:numId w:val="2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firstLine="494"/>
        <w:spacing w:after="0" w:line="250" w:lineRule="auto"/>
        <w:tabs>
          <w:tab w:leader="none" w:pos="802" w:val="left"/>
        </w:tabs>
        <w:numPr>
          <w:ilvl w:val="1"/>
          <w:numId w:val="2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D. Miller, Executive Vice President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0" w:name="page51"/>
    <w:bookmarkEnd w:id="50"/>
    <w:p>
      <w:pPr>
        <w:ind w:left="99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w:t>
      </w:r>
    </w:p>
    <w:p>
      <w:pPr>
        <w:jc w:val="center"/>
        <w:spacing w:after="0" w:line="238" w:lineRule="auto"/>
        <w:rPr>
          <w:sz w:val="20"/>
          <w:szCs w:val="20"/>
          <w:color w:val="auto"/>
        </w:rPr>
      </w:pPr>
      <w:r>
        <w:rPr>
          <w:rFonts w:ascii="Arial" w:cs="Arial" w:eastAsia="Arial" w:hAnsi="Arial"/>
          <w:sz w:val="22"/>
          <w:szCs w:val="22"/>
          <w:color w:val="auto"/>
        </w:rPr>
        <w:t>PRESIDENT AND CHIEF EXECUTIVE OFFICER</w:t>
      </w:r>
    </w:p>
    <w:p>
      <w:pPr>
        <w:jc w:val="center"/>
        <w:spacing w:after="0" w:line="230" w:lineRule="auto"/>
        <w:rPr>
          <w:sz w:val="20"/>
          <w:szCs w:val="20"/>
          <w:color w:val="auto"/>
        </w:rPr>
      </w:pPr>
      <w:r>
        <w:rPr>
          <w:rFonts w:ascii="Arial" w:cs="Arial" w:eastAsia="Arial" w:hAnsi="Arial"/>
          <w:sz w:val="22"/>
          <w:szCs w:val="22"/>
          <w:color w:val="auto"/>
        </w:rPr>
        <w:t>PURSUANT TO 18 U.S.C. SECTION 1350,</w:t>
      </w:r>
    </w:p>
    <w:p>
      <w:pPr>
        <w:jc w:val="center"/>
        <w:spacing w:after="0" w:line="231" w:lineRule="auto"/>
        <w:rPr>
          <w:sz w:val="20"/>
          <w:szCs w:val="20"/>
          <w:color w:val="auto"/>
        </w:rPr>
      </w:pPr>
      <w:r>
        <w:rPr>
          <w:rFonts w:ascii="Arial" w:cs="Arial" w:eastAsia="Arial" w:hAnsi="Arial"/>
          <w:sz w:val="22"/>
          <w:szCs w:val="22"/>
          <w:color w:val="auto"/>
        </w:rPr>
        <w:t>AS ADOPTED PURSUANT TO</w:t>
      </w: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Annual Report of Donegal Group Inc. (the “Company”), on Form 10-Q for the quarter ended June 30, 2023, as filed with the Securities and Exchange Commission (the “Report”), Kevin G. Burke, the President and Chief Executive Officer of the Company, does hereby certify, pursuant to § 906 of the Sarbanes-Oxley Act of 2002 (18 U.S.C. § 1350), that to his knowledge:</w:t>
      </w:r>
    </w:p>
    <w:p>
      <w:pPr>
        <w:spacing w:after="0" w:line="212" w:lineRule="exact"/>
        <w:rPr>
          <w:sz w:val="20"/>
          <w:szCs w:val="20"/>
          <w:color w:val="auto"/>
        </w:rPr>
      </w:pPr>
    </w:p>
    <w:p>
      <w:pPr>
        <w:ind w:left="540" w:hanging="20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67" w:lineRule="exact"/>
        <w:rPr>
          <w:rFonts w:ascii="Arial" w:cs="Arial" w:eastAsia="Arial" w:hAnsi="Arial"/>
          <w:sz w:val="19"/>
          <w:szCs w:val="19"/>
          <w:color w:val="auto"/>
        </w:rPr>
      </w:pPr>
    </w:p>
    <w:p>
      <w:pPr>
        <w:ind w:right="600" w:firstLine="332"/>
        <w:spacing w:after="0" w:line="250" w:lineRule="auto"/>
        <w:tabs>
          <w:tab w:leader="none" w:pos="53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Date: August 4,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G. Burke</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Kevin G. Burke, President and Chief Executive Officer</w:t>
            </w:r>
          </w:p>
        </w:tc>
      </w:tr>
      <w:tr>
        <w:trPr>
          <w:trHeight w:val="587"/>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8" w:right="339" w:bottom="1440" w:gutter="0" w:footer="0" w:header="0"/>
        </w:sectPr>
      </w:pPr>
    </w:p>
    <w:bookmarkStart w:id="51" w:name="page52"/>
    <w:bookmarkEnd w:id="51"/>
    <w:p>
      <w:pPr>
        <w:ind w:left="99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w:t>
      </w:r>
    </w:p>
    <w:p>
      <w:pPr>
        <w:jc w:val="center"/>
        <w:spacing w:after="0" w:line="238" w:lineRule="auto"/>
        <w:rPr>
          <w:sz w:val="20"/>
          <w:szCs w:val="20"/>
          <w:color w:val="auto"/>
        </w:rPr>
      </w:pPr>
      <w:r>
        <w:rPr>
          <w:rFonts w:ascii="Arial" w:cs="Arial" w:eastAsia="Arial" w:hAnsi="Arial"/>
          <w:sz w:val="22"/>
          <w:szCs w:val="22"/>
          <w:color w:val="auto"/>
        </w:rPr>
        <w:t>EXECUTIVE VICE PRESIDENT AND CHIEF FINANCIAL OFFICER</w:t>
      </w:r>
    </w:p>
    <w:p>
      <w:pPr>
        <w:jc w:val="center"/>
        <w:spacing w:after="0" w:line="230" w:lineRule="auto"/>
        <w:rPr>
          <w:sz w:val="20"/>
          <w:szCs w:val="20"/>
          <w:color w:val="auto"/>
        </w:rPr>
      </w:pPr>
      <w:r>
        <w:rPr>
          <w:rFonts w:ascii="Arial" w:cs="Arial" w:eastAsia="Arial" w:hAnsi="Arial"/>
          <w:sz w:val="22"/>
          <w:szCs w:val="22"/>
          <w:color w:val="auto"/>
        </w:rPr>
        <w:t>PURSUANT TO 18 U.S.C. SECTION 1350,</w:t>
      </w:r>
    </w:p>
    <w:p>
      <w:pPr>
        <w:jc w:val="center"/>
        <w:spacing w:after="0" w:line="231" w:lineRule="auto"/>
        <w:rPr>
          <w:sz w:val="20"/>
          <w:szCs w:val="20"/>
          <w:color w:val="auto"/>
        </w:rPr>
      </w:pPr>
      <w:r>
        <w:rPr>
          <w:rFonts w:ascii="Arial" w:cs="Arial" w:eastAsia="Arial" w:hAnsi="Arial"/>
          <w:sz w:val="22"/>
          <w:szCs w:val="22"/>
          <w:color w:val="auto"/>
        </w:rPr>
        <w:t>AS ADOPTED PURSUANT TO</w:t>
      </w: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Annual Report of Donegal Group Inc. (the “Company”), on Form 10-Q for the quarter ended June 30, 2023,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212" w:lineRule="exact"/>
        <w:rPr>
          <w:sz w:val="20"/>
          <w:szCs w:val="20"/>
          <w:color w:val="auto"/>
        </w:rPr>
      </w:pPr>
    </w:p>
    <w:p>
      <w:pPr>
        <w:ind w:left="540" w:hanging="20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67" w:lineRule="exact"/>
        <w:rPr>
          <w:rFonts w:ascii="Arial" w:cs="Arial" w:eastAsia="Arial" w:hAnsi="Arial"/>
          <w:sz w:val="19"/>
          <w:szCs w:val="19"/>
          <w:color w:val="auto"/>
        </w:rPr>
      </w:pPr>
    </w:p>
    <w:p>
      <w:pPr>
        <w:ind w:firstLine="332"/>
        <w:spacing w:after="0" w:line="250" w:lineRule="auto"/>
        <w:tabs>
          <w:tab w:leader="none" w:pos="569"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D. Miller, Executive Vice President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2"/>
    </w:lvl>
    <w:lvl w:ilvl="1">
      <w:lvlJc w:val="left"/>
      <w:lvlText w:val="(%2)"/>
      <w:numFmt w:val="decimal"/>
      <w:start w:val="1"/>
    </w:lvl>
  </w:abstractNum>
  <w:abstractNum w:abstractNumId="13">
    <w:nsid w:val="436C6125"/>
    <w:multiLevelType w:val="hybridMultilevel"/>
    <w:lvl w:ilvl="0">
      <w:lvlJc w:val="left"/>
      <w:lvlText w:val="(%1)"/>
      <w:numFmt w:val="decimal"/>
      <w:start w:val="2"/>
    </w:lvl>
    <w:lvl w:ilvl="1">
      <w:lvlJc w:val="left"/>
      <w:lvlText w:val="(%2)"/>
      <w:numFmt w:val="lowerLetter"/>
      <w:start w:val="1"/>
    </w:lvl>
  </w:abstractNum>
  <w:abstractNum w:abstractNumId="14">
    <w:nsid w:val="628C895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333AB105"/>
    <w:multiLevelType w:val="hybridMultilevel"/>
    <w:lvl w:ilvl="0">
      <w:lvlJc w:val="left"/>
      <w:lvlText w:val="(%1)"/>
      <w:numFmt w:val="decimal"/>
      <w:start w:val="5"/>
    </w:lvl>
  </w:abstractNum>
  <w:abstractNum w:abstractNumId="16">
    <w:nsid w:val="721DA317"/>
    <w:multiLevelType w:val="hybridMultilevel"/>
    <w:lvl w:ilvl="0">
      <w:lvlJc w:val="left"/>
      <w:lvlText w:val="(%1)"/>
      <w:numFmt w:val="decimal"/>
      <w:start w:val="6"/>
    </w:lvl>
    <w:lvl w:ilvl="1">
      <w:lvlJc w:val="left"/>
      <w:lvlText w:val="(%2)"/>
      <w:numFmt w:val="lowerLetter"/>
      <w:start w:val="1"/>
    </w:lvl>
  </w:abstractNum>
  <w:abstractNum w:abstractNumId="17">
    <w:nsid w:val="2443A858"/>
    <w:multiLevelType w:val="hybridMultilevel"/>
    <w:lvl w:ilvl="0">
      <w:lvlJc w:val="left"/>
      <w:lvlText w:val="(%1)"/>
      <w:numFmt w:val="lowerRoman"/>
      <w:start w:val="2"/>
    </w:lvl>
  </w:abstractNum>
  <w:abstractNum w:abstractNumId="18">
    <w:nsid w:val="2D1D5AE9"/>
    <w:multiLevelType w:val="hybridMultilevel"/>
    <w:lvl w:ilvl="0">
      <w:lvlJc w:val="left"/>
      <w:lvlText w:val="(%1)"/>
      <w:numFmt w:val="decimal"/>
      <w:start w:val="7"/>
    </w:lvl>
  </w:abstractNum>
  <w:abstractNum w:abstractNumId="19">
    <w:nsid w:val="6763845E"/>
    <w:multiLevelType w:val="hybridMultilevel"/>
    <w:lvl w:ilvl="0">
      <w:lvlJc w:val="left"/>
      <w:lvlText w:val="%1"/>
      <w:numFmt w:val="decimal"/>
      <w:start w:val="1"/>
    </w:lvl>
    <w:lvl w:ilvl="1">
      <w:lvlJc w:val="left"/>
      <w:lvlText w:val="(%2)"/>
      <w:numFmt w:val="decimal"/>
      <w:start w:val="14"/>
    </w:lvl>
  </w:abstractNum>
  <w:abstractNum w:abstractNumId="20">
    <w:nsid w:val="75A2A8D4"/>
    <w:multiLevelType w:val="hybridMultilevel"/>
    <w:lvl w:ilvl="0">
      <w:lvlJc w:val="left"/>
      <w:lvlText w:val="%1."/>
      <w:numFmt w:val="decimal"/>
      <w:start w:val="3"/>
    </w:lvl>
    <w:lvl w:ilvl="1">
      <w:lvlJc w:val="left"/>
      <w:lvlText w:val="%2"/>
      <w:numFmt w:val="decimal"/>
      <w:start w:val="1"/>
    </w:lvl>
  </w:abstractNum>
  <w:abstractNum w:abstractNumId="21">
    <w:nsid w:val="8EDBDAB"/>
    <w:multiLevelType w:val="hybridMultilevel"/>
    <w:lvl w:ilvl="0">
      <w:lvlJc w:val="left"/>
      <w:lvlText w:val="%1."/>
      <w:numFmt w:val="decimal"/>
      <w:start w:val="6"/>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2023-08-04T14:33:46Z</dcterms:created>
  <dcterms:modified xsi:type="dcterms:W3CDTF">2023-08-04T14:33:46Z</dcterms:modified>
</cp:coreProperties>
</file>