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132715</wp:posOffset>
            </wp:positionV>
            <wp:extent cx="234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165100</wp:posOffset>
            </wp:positionV>
            <wp:extent cx="234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20" w:right="1600" w:hanging="3812"/>
        <w:spacing w:after="0" w:line="263"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jc w:val="center"/>
        <w:ind w:right="-19"/>
        <w:spacing w:after="0"/>
        <w:tabs>
          <w:tab w:leader="none" w:pos="780" w:val="left"/>
          <w:tab w:leader="none" w:pos="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142875</wp:posOffset>
            </wp:positionV>
            <wp:extent cx="23488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9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141605</wp:posOffset>
            </wp:positionV>
            <wp:extent cx="23488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23-2424711</w:t>
            </w:r>
          </w:p>
        </w:tc>
      </w:tr>
      <w:tr>
        <w:trPr>
          <w:trHeight w:val="216"/>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1195 River Road, P.O. Box 302, Marietta, PA 17547</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(717) 426-1931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142875</wp:posOffset>
            </wp:positionV>
            <wp:extent cx="234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2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8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16" w:right="339" w:bottom="236"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300" w:space="720"/>
            <w:col w:w="2060" w:space="720"/>
            <w:col w:w="2060" w:space="720"/>
            <w:col w:w="2660"/>
          </w:cols>
          <w:pgMar w:left="320" w:top="516" w:right="339" w:bottom="236"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16" w:right="339" w:bottom="236" w:gutter="0" w:footer="0" w:header="0"/>
          <w:type w:val="continuous"/>
        </w:sectPr>
      </w:pPr>
    </w:p>
    <w:p>
      <w:pPr>
        <w:spacing w:after="0" w:line="190" w:lineRule="exact"/>
        <w:rPr>
          <w:sz w:val="24"/>
          <w:szCs w:val="24"/>
          <w:color w:val="auto"/>
        </w:rPr>
      </w:pPr>
    </w:p>
    <w:p>
      <w:pPr>
        <w:ind w:right="6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2"/>
        </w:trPr>
        <w:tc>
          <w:tcPr>
            <w:tcW w:w="42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Class A Common Stock, $.01 par value</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2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432"/>
        </w:trPr>
        <w:tc>
          <w:tcPr>
            <w:tcW w:w="42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DGICB</w:t>
            </w:r>
          </w:p>
        </w:tc>
        <w:tc>
          <w:tcPr>
            <w:tcW w:w="42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27,816,654 shares of Class A Common Stock, par value $0.01 per share, and 5,576,775 shares of Class B Common Stock, par value $0.01 per share, outstanding on May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16" w:right="339" w:bottom="23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740" w:type="dxa"/>
            <w:vAlign w:val="bottom"/>
            <w:gridSpan w:val="1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INFORMATION</w:t>
            </w:r>
          </w:p>
        </w:tc>
        <w:tc>
          <w:tcPr>
            <w:tcW w:w="660" w:type="dxa"/>
            <w:vAlign w:val="bottom"/>
            <w:shd w:val="clear" w:color="auto" w:fill="CCEEFF"/>
          </w:tcPr>
          <w:p>
            <w:pPr>
              <w:spacing w:after="0"/>
              <w:rPr>
                <w:sz w:val="18"/>
                <w:szCs w:val="18"/>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6"/>
        </w:trPr>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9740" w:type="dxa"/>
            <w:vAlign w:val="bottom"/>
            <w:gridSpan w:val="1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660" w:type="dxa"/>
            <w:vAlign w:val="bottom"/>
            <w:shd w:val="clear" w:color="auto" w:fill="CCEEFF"/>
          </w:tcPr>
          <w:p>
            <w:pPr>
              <w:spacing w:after="0"/>
              <w:rPr>
                <w:sz w:val="18"/>
                <w:szCs w:val="18"/>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12"/>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39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0" w:type="dxa"/>
            <w:vAlign w:val="bottom"/>
            <w:gridSpan w:val="3"/>
            <w:vMerge w:val="continue"/>
          </w:tcPr>
          <w:p>
            <w:pPr>
              <w:spacing w:after="0"/>
              <w:rPr>
                <w:sz w:val="13"/>
                <w:szCs w:val="13"/>
                <w:color w:val="auto"/>
              </w:rPr>
            </w:pPr>
          </w:p>
        </w:tc>
        <w:tc>
          <w:tcPr>
            <w:tcW w:w="19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at amortized cost (net of allowance for expected credit losses of $1,329,099 and $1,325,847)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683,398,852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679,497,038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600,761,425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589,348,243</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28,883,318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25,902,956</w:t>
            </w:r>
          </w:p>
        </w:tc>
        <w:tc>
          <w:tcPr>
            <w:tcW w:w="0" w:type="dxa"/>
            <w:vAlign w:val="bottom"/>
          </w:tcPr>
          <w:p>
            <w:pPr>
              <w:spacing w:after="0"/>
              <w:rPr>
                <w:sz w:val="1"/>
                <w:szCs w:val="1"/>
                <w:color w:val="auto"/>
              </w:rPr>
            </w:pPr>
          </w:p>
        </w:tc>
      </w:tr>
      <w:tr>
        <w:trPr>
          <w:trHeight w:val="223"/>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18,860,030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32,305,408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1,331,903,625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1,327,053,645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w:t>
            </w:r>
          </w:p>
        </w:tc>
        <w:tc>
          <w:tcPr>
            <w:tcW w:w="19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19,805,040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23,792,273</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10,497,341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9,945,714</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193,160,160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179,591,821</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$1,026,016 and $1,394,074)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435,505,126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441,431,334</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78,857,108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75,043,404</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19,483,755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19,532,525</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179,757,762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168,724,465</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2,594,056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2,633,405</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 securities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1,501,079</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7,271,415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8,102,321</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8,841,178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1,907,527</w:t>
            </w:r>
          </w:p>
        </w:tc>
        <w:tc>
          <w:tcPr>
            <w:tcW w:w="0" w:type="dxa"/>
            <w:vAlign w:val="bottom"/>
          </w:tcPr>
          <w:p>
            <w:pPr>
              <w:spacing w:after="0"/>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5,625,354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958,010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2,294,308,053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2,266,293,888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62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80" w:type="dxa"/>
            <w:vAlign w:val="bottom"/>
            <w:tcBorders>
              <w:top w:val="single" w:sz="8" w:color="auto"/>
            </w:tcBorders>
          </w:tcPr>
          <w:p>
            <w:pPr>
              <w:spacing w:after="0"/>
              <w:rPr>
                <w:sz w:val="18"/>
                <w:szCs w:val="18"/>
                <w:color w:val="auto"/>
              </w:rPr>
            </w:pPr>
          </w:p>
        </w:tc>
        <w:tc>
          <w:tcPr>
            <w:tcW w:w="5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1,124,452,191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1,126,156,838</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634,136,621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599,411,468</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3,685,534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3,946,974</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4,016,080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8,758,976</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5,569,992</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7,931,153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7,704,286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1,809,221,579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1,786,548,534</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2,000,000 shares; none issued</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0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50,000,000 shares, issued 30,819,242 and 30,764,555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27,816,654 and 27,761,967 shares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308,193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307,646</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30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authorized 10,000,000 shares, issued 5,649,240 shares and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336,817,945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335,694,478</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(34,483,112)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(32,881,822)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223,613,313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217,794,917</w:t>
            </w:r>
          </w:p>
        </w:tc>
        <w:tc>
          <w:tcPr>
            <w:tcW w:w="0" w:type="dxa"/>
            <w:vAlign w:val="bottom"/>
          </w:tcPr>
          <w:p>
            <w:pPr>
              <w:spacing w:after="0"/>
              <w:rPr>
                <w:sz w:val="1"/>
                <w:szCs w:val="1"/>
                <w:color w:val="auto"/>
              </w:rPr>
            </w:pPr>
          </w:p>
        </w:tc>
      </w:tr>
      <w:tr>
        <w:trPr>
          <w:trHeight w:val="223"/>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(41,226,357)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485,086,474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479,745,354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2,294,308,053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2,266,293,888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227,748,679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215,233,160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10,972,327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9,449,078</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gains (losses) (includes ($77,051) and ($2,199,673) accumulated other comprehensive income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2,113,378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(331,189)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89,347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224,662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241,140,869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224,745,771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150,896,415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138,105,889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39,602,000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37,798,000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41,739,868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40,611,437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1,343,340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152,957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444,934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233,892,473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218,449,338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7,248,396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$16,181 and $461,931 income tax benefit from reclassification items)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1,292,845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1,092,837</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5,955,551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5,203,596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 and diluted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vMerge w:val="restart"/>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8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5,955,551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income on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holding (loss) income during the period, net of income tax (benefit) expense of ($441,850)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$603,390</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(1,662,160)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2,269,896</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losses included in net income, net of income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benefit of $16,181 and $461,931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60,870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1,737,742</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(1,601,290)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4,007,638</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4,354,261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9,211,234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9"/>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gridSpan w:val="11"/>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9"/>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color w:val="auto"/>
                <w:w w:val="99"/>
              </w:rPr>
              <w:t>Accumulated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11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7"/>
              </w:rPr>
              <w:t>Other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A</w:t>
            </w: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Class B</w:t>
            </w:r>
          </w:p>
        </w:tc>
        <w:tc>
          <w:tcPr>
            <w:tcW w:w="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Class A</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6"/>
              </w:rPr>
              <w:t>Treasury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Shares</w:t>
            </w:r>
          </w:p>
        </w:tc>
        <w:tc>
          <w:tcPr>
            <w:tcW w:w="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1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color w:val="auto"/>
                <w:w w:val="99"/>
              </w:rPr>
              <w:t>Loss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30,764,555</w:t>
            </w: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5,649,240</w:t>
            </w: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$307,646</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$56,492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$335,694,478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(32,881,822)</w:t>
            </w: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$ 217,794,917</w:t>
            </w: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(41,226,357)</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$ 479,745,354</w:t>
            </w:r>
          </w:p>
        </w:tc>
        <w:tc>
          <w:tcPr>
            <w:tcW w:w="80" w:type="dxa"/>
            <w:vAlign w:val="bottom"/>
            <w:shd w:val="clear" w:color="auto" w:fill="CCEEFF"/>
          </w:tcPr>
          <w:p>
            <w:pPr>
              <w:spacing w:after="0"/>
              <w:rPr>
                <w:sz w:val="18"/>
                <w:szCs w:val="18"/>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473,123</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522,460</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522,624</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5,955,551</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5,955,551</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(8,888)</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(8,888)</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(128,267)</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(1,601,290)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(1,601,290)</w:t>
            </w:r>
          </w:p>
        </w:tc>
      </w:tr>
      <w:tr>
        <w:trPr>
          <w:trHeight w:val="27"/>
        </w:trPr>
        <w:tc>
          <w:tcPr>
            <w:tcW w:w="320" w:type="dxa"/>
            <w:vAlign w:val="bottom"/>
            <w:shd w:val="clear" w:color="auto" w:fill="CCEEFF"/>
          </w:tcPr>
          <w:p>
            <w:pPr>
              <w:spacing w:after="0"/>
              <w:rPr>
                <w:sz w:val="2"/>
                <w:szCs w:val="2"/>
                <w:color w:val="auto"/>
              </w:rPr>
            </w:pPr>
          </w:p>
        </w:tc>
        <w:tc>
          <w:tcPr>
            <w:tcW w:w="1860" w:type="dxa"/>
            <w:vAlign w:val="bottom"/>
            <w:tcBorders>
              <w:right w:val="single" w:sz="8" w:color="auto"/>
            </w:tcBorders>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30,819,242</w:t>
            </w:r>
          </w:p>
        </w:tc>
        <w:tc>
          <w:tcPr>
            <w:tcW w:w="1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5,649,240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308,193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56,492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336,817,945</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(34,483,112)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223,613,313</w:t>
            </w:r>
          </w:p>
        </w:tc>
        <w:tc>
          <w:tcPr>
            <w:tcW w:w="2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9"/>
              </w:rPr>
              <w:t>$ (41,226,357) $ 485,086,474</w:t>
            </w:r>
          </w:p>
        </w:tc>
      </w:tr>
      <w:tr>
        <w:trPr>
          <w:trHeight w:val="21"/>
        </w:trPr>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9"/>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color w:val="auto"/>
                <w:w w:val="99"/>
              </w:rPr>
              <w:t>Accumulated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Additional</w:t>
            </w:r>
          </w:p>
        </w:tc>
        <w:tc>
          <w:tcPr>
            <w:tcW w:w="16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w w:val="97"/>
              </w:rPr>
              <w:t>Other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8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Class B</w:t>
            </w:r>
          </w:p>
        </w:tc>
        <w:tc>
          <w:tcPr>
            <w:tcW w:w="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Class A</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Class B</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Paid-In</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w w:val="96"/>
              </w:rPr>
              <w:t>Treasury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Shares</w:t>
            </w:r>
          </w:p>
        </w:tc>
        <w:tc>
          <w:tcPr>
            <w:tcW w:w="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10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color w:val="auto"/>
                <w:w w:val="99"/>
              </w:rPr>
              <w:t>Loss</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30,120,263</w:t>
            </w: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5,649,240</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$301,203</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$56,492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$325,601,647</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(41,703,747)</w:t>
            </w: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$240,563,774</w:t>
            </w: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(41,226,357)</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$ 483,593,012</w:t>
            </w:r>
          </w:p>
        </w:tc>
        <w:tc>
          <w:tcPr>
            <w:tcW w:w="80" w:type="dxa"/>
            <w:vAlign w:val="bottom"/>
            <w:shd w:val="clear" w:color="auto" w:fill="CCEEFF"/>
          </w:tcPr>
          <w:p>
            <w:pPr>
              <w:spacing w:after="0"/>
              <w:rPr>
                <w:sz w:val="18"/>
                <w:szCs w:val="18"/>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35,045</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440,746</w:t>
            </w:r>
          </w:p>
        </w:tc>
        <w:tc>
          <w:tcPr>
            <w:tcW w:w="16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441,096</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143,004</w:t>
            </w: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2,218,355</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2,219,786</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5,203,596</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5,203,596</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(7,057)</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(7,057)</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114,724</w:t>
            </w:r>
          </w:p>
        </w:tc>
        <w:tc>
          <w:tcPr>
            <w:tcW w:w="1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(114,724)</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180" w:type="dxa"/>
            <w:vAlign w:val="bottom"/>
            <w:tcBorders>
              <w:right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w:t>
            </w:r>
          </w:p>
        </w:tc>
        <w:tc>
          <w:tcPr>
            <w:tcW w:w="8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1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adoption of updated</w:t>
            </w: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1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guidance for credit losses</w:t>
            </w: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21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January 1, 2023</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(1,895,902)</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(1,895,902)</w:t>
            </w:r>
          </w:p>
        </w:tc>
      </w:tr>
      <w:tr>
        <w:trPr>
          <w:trHeight w:val="22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4,007,638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4,007,638</w:t>
            </w:r>
          </w:p>
        </w:tc>
      </w:tr>
      <w:tr>
        <w:trPr>
          <w:trHeight w:val="257"/>
        </w:trPr>
        <w:tc>
          <w:tcPr>
            <w:tcW w:w="21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Balance, March 31, 2023</w:t>
            </w: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30,298,312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CCEEFF"/>
              </w:rPr>
              <w:t>5,649,240</w:t>
            </w:r>
          </w:p>
        </w:tc>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shd w:val="clear" w:color="auto" w:fill="CCEEFF"/>
              </w:rPr>
              <w:t>$</w:t>
            </w:r>
            <w:r>
              <w:rPr>
                <w:rFonts w:ascii="Times New Roman" w:cs="Times New Roman" w:eastAsia="Times New Roman" w:hAnsi="Times New Roman"/>
                <w:sz w:val="18"/>
                <w:szCs w:val="18"/>
                <w:color w:val="auto"/>
                <w:w w:val="97"/>
                <w:shd w:val="clear" w:color="auto" w:fill="CCEEFF"/>
              </w:rPr>
              <w:t>302,984</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2"/>
                <w:shd w:val="clear" w:color="auto" w:fill="CCEEFF"/>
              </w:rPr>
              <w:t>$</w:t>
            </w:r>
            <w:r>
              <w:rPr>
                <w:rFonts w:ascii="Times New Roman" w:cs="Times New Roman" w:eastAsia="Times New Roman" w:hAnsi="Times New Roman"/>
                <w:sz w:val="18"/>
                <w:szCs w:val="18"/>
                <w:color w:val="auto"/>
                <w:w w:val="92"/>
                <w:shd w:val="clear" w:color="auto" w:fill="CCEEFF"/>
              </w:rPr>
              <w:t>56,492</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shd w:val="clear" w:color="auto" w:fill="CCEEFF"/>
              </w:rPr>
              <w:t>$</w:t>
            </w:r>
            <w:r>
              <w:rPr>
                <w:rFonts w:ascii="Times New Roman" w:cs="Times New Roman" w:eastAsia="Times New Roman" w:hAnsi="Times New Roman"/>
                <w:sz w:val="18"/>
                <w:szCs w:val="18"/>
                <w:color w:val="auto"/>
                <w:w w:val="98"/>
                <w:shd w:val="clear" w:color="auto" w:fill="CCEEFF"/>
              </w:rPr>
              <w:t>328,375,472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(37,696,109</w:t>
            </w:r>
          </w:p>
        </w:tc>
        <w:tc>
          <w:tcPr>
            <w:tcW w:w="14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shd w:val="clear" w:color="auto" w:fill="CCEEFF"/>
              </w:rPr>
              <w:t>$</w:t>
            </w:r>
            <w:r>
              <w:rPr>
                <w:rFonts w:ascii="Times New Roman" w:cs="Times New Roman" w:eastAsia="Times New Roman" w:hAnsi="Times New Roman"/>
                <w:sz w:val="18"/>
                <w:szCs w:val="18"/>
                <w:color w:val="auto"/>
                <w:w w:val="96"/>
                <w:shd w:val="clear" w:color="auto" w:fill="CCEEFF"/>
              </w:rPr>
              <w:t>243,749,687</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shd w:val="clear" w:color="auto" w:fill="CCEEFF"/>
              </w:rPr>
              <w:t>$ (41,226,357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shd w:val="clear" w:color="auto" w:fill="CCEEFF"/>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shd w:val="clear" w:color="auto" w:fill="CCEEFF"/>
              </w:rPr>
              <w:t>$ 493,562,169</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5,955,551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5,203,596</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966,911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1,122,609</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(2,113,378)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331,189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(1,704,647)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2,488,926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34,725,153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32,031,102</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(13,568,339)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(15,699,109)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(3,813,704)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(4,019,366)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355,524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(5,291,035)</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(11,033,297)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(9,960,021)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(551,627)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(1,322,590)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(6,933,651)</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(7,651,293)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(4,742,896)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(220,377)</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749,813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(261,440)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465,988</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734,310</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(1,137,407</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(5,884,330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4,818,144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(680,734)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(11,911,672)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(12,092,863)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(46,490,362)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(34,354,601)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 available for sale</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(786,680)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(3,590,015)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8,008,034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6,127,883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30,922,241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12,365,403</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748,250</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equity securities, available for sale</w:t>
            </w:r>
          </w:p>
        </w:tc>
        <w:tc>
          <w:tcPr>
            <w:tcW w:w="180" w:type="dxa"/>
            <w:vAlign w:val="bottom"/>
          </w:tcPr>
          <w:p>
            <w:pPr>
              <w:spacing w:after="0"/>
              <w:rPr>
                <w:sz w:val="18"/>
                <w:szCs w:val="18"/>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3,066,129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(44,700)</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of short-term investments</w:t>
            </w:r>
          </w:p>
        </w:tc>
        <w:tc>
          <w:tcPr>
            <w:tcW w:w="180" w:type="dxa"/>
            <w:vAlign w:val="bottom"/>
          </w:tcPr>
          <w:p>
            <w:pPr>
              <w:spacing w:after="0"/>
              <w:rPr>
                <w:sz w:val="19"/>
                <w:szCs w:val="19"/>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13,445,378</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29,183,513</w:t>
            </w: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(3,817,413</w:t>
            </w:r>
          </w:p>
        </w:tc>
        <w:tc>
          <w:tcPr>
            <w:tcW w:w="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1,408,999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(5,578,880)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(5,304,047)</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2,288,494</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(4,987,964</w:t>
            </w:r>
          </w:p>
        </w:tc>
        <w:tc>
          <w:tcPr>
            <w:tcW w:w="2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(3,987,233)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(2,287,288)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23,792,273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25,123,332</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19,805,040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22,836,044</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156,346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period - Taxes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9"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commercial and personal lines of property and casualty coverages exclusively through a network of independent insurance agents in certain Mid-Atlantic, Midwestern, New England, Southern and Southwestern states.</w:t>
      </w:r>
    </w:p>
    <w:p>
      <w:pPr>
        <w:spacing w:after="0" w:line="187" w:lineRule="exact"/>
        <w:rPr>
          <w:sz w:val="20"/>
          <w:szCs w:val="20"/>
          <w:color w:val="auto"/>
        </w:rPr>
      </w:pPr>
    </w:p>
    <w:p>
      <w:pPr>
        <w:ind w:right="160" w:firstLine="486"/>
        <w:spacing w:after="0" w:line="289" w:lineRule="auto"/>
        <w:rPr>
          <w:sz w:val="20"/>
          <w:szCs w:val="20"/>
          <w:color w:val="auto"/>
        </w:rPr>
      </w:pPr>
      <w:r>
        <w:rPr>
          <w:rFonts w:ascii="Times New Roman" w:cs="Times New Roman" w:eastAsia="Times New Roman" w:hAnsi="Times New Roman"/>
          <w:sz w:val="17"/>
          <w:szCs w:val="17"/>
          <w:color w:val="auto"/>
        </w:rPr>
        <w:t>At March 31, 2024,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At March 31, 2024, Donegal Mutual held approximately 44% of our outstanding Class A common stock and approximately 84%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three months ended March 31, 2024 are not necessarily indicative of the results of operations we expect for the year ending December 31, 2024.</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2023 that we filed with the Securities and Exchange Commission (“SEC”) on March 6, 2024.</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3 -</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2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27,193</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27,193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86"/>
        <w:spacing w:after="0" w:line="312" w:lineRule="auto"/>
        <w:rPr>
          <w:sz w:val="20"/>
          <w:szCs w:val="20"/>
          <w:color w:val="auto"/>
        </w:rPr>
      </w:pPr>
      <w:r>
        <w:rPr>
          <w:rFonts w:ascii="Times New Roman" w:cs="Times New Roman" w:eastAsia="Times New Roman" w:hAnsi="Times New Roman"/>
          <w:sz w:val="17"/>
          <w:szCs w:val="17"/>
          <w:color w:val="auto"/>
        </w:rPr>
        <w:t>We did not include outstanding options to purchase the following number of shares of Class A common stock in our computation of diluted net income per share because the exercise price of the options exceeded the average market price of our Class A common stock during the applicable periods.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to purchase Class A shares excluded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1,693,904</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2,307,435</w:t>
            </w: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   Reinsurance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2024:</w:t>
      </w:r>
    </w:p>
    <w:p>
      <w:pPr>
        <w:spacing w:after="0" w:line="183" w:lineRule="exact"/>
        <w:rPr>
          <w:sz w:val="20"/>
          <w:szCs w:val="20"/>
          <w:color w:val="auto"/>
        </w:rPr>
      </w:pPr>
    </w:p>
    <w:p>
      <w:pPr>
        <w:ind w:left="980" w:right="120" w:hanging="486"/>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 losses over a set retention of $3.0 million for all losses other than property and a set retention of $4.0 million for property losses; and</w:t>
      </w:r>
    </w:p>
    <w:p>
      <w:pPr>
        <w:spacing w:after="0" w:line="161" w:lineRule="exact"/>
        <w:rPr>
          <w:rFonts w:ascii="Times New Roman" w:cs="Times New Roman" w:eastAsia="Times New Roman" w:hAnsi="Times New Roman"/>
          <w:sz w:val="18"/>
          <w:szCs w:val="18"/>
          <w:color w:val="auto"/>
        </w:rPr>
      </w:pPr>
    </w:p>
    <w:p>
      <w:pPr>
        <w:ind w:left="980" w:right="34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reinsurance, under which Donegal Mutual and our insurance subsidiaries recover 100% of an accumulation of many losses resulting from a single event, including natural disasters, over a set retention of $25.0 million up to aggregate losses of $175.0 million per occurrence.</w:t>
      </w:r>
    </w:p>
    <w:p>
      <w:pPr>
        <w:spacing w:after="0" w:line="176"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For property insurance, our insurance subsidiaries have excess of loss reinsurance that provides coverage of $36.0 million per loss over a set retention of $4.0 million. For liability insurance, our insurance subsidiaries have excess of loss reinsurance that provides coverage of $72.0 million per occurrence over a set retention of $3.0 million. For workers’ compensation insurance, our insurance subsidiaries have excess of loss reinsurance that provides coverage of $17.0 million on any one life over a set retention of $3.0 million.</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62"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Peninsula are required to be members of the Michigan Catastrophic Claims Association (“MCCA”). The MCCA provides reinsurance to Atlantic States, MICO and Peninsula for personal automobile and commercial automobile personal injury claims in the state of Michigan over a set retention.</w:t>
      </w:r>
    </w:p>
    <w:p>
      <w:pPr>
        <w:spacing w:after="0" w:line="3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0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5 -</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March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3"/>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3"/>
              </w:rPr>
              <w:t>Gains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91,551</w:t>
            </w:r>
          </w:p>
        </w:tc>
        <w:tc>
          <w:tcPr>
            <w:tcW w:w="5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91,606</w:t>
            </w:r>
          </w:p>
        </w:tc>
        <w:tc>
          <w:tcPr>
            <w:tcW w:w="3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82,056</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376,835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327,228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203,094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187,775</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12,755</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683,399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76,226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91,561</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87,055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37,739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195,170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300,874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280,797</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643,216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At March 31, 2024, our holdings of obligations of states and political subdivisions included general obligation bonds with an aggregate fair value of $241.5 million and an amortized cost of $277.9 million. Our holdings at March 31, 2024 also included special revenue bonds with an aggregate fair value of $123.5 million and an amortized cost of $140.8 million. With respect to both categories of those bonds at March 31, 2024, we held no securities of any issuer that comprised more than 10% of our holdings of either bond category. Education bonds and water and sewer utility bonds represented 47% and 36%, respectively, of our total investments in special revenue bonds based on the carrying values of these investments at March 31, 2024. Many of the issuers of the special revenue bonds we held at March 31, 2024 have the authority to impose ad valorem taxes. In that respect, many of the special revenue bonds we held are similar to general obligation bonds.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3"/>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3"/>
              </w:rPr>
              <w:t>Gains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91,572</w:t>
            </w:r>
          </w:p>
        </w:tc>
        <w:tc>
          <w:tcPr>
            <w:tcW w:w="3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82,687</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377,164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331,768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188,249</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89,367</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4,147</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85,419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196,793</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269,020</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629,727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At December 31, 2023, our holdings of obligations of states and political subdivisions included general obligation bonds with an aggregate fair value of $245.1 million and an amortized cost of $278.3 million. Our holdings also included special revenue bonds with an aggregate fair value of $124.8 million and an amortized cost of $140.8 million. With respect to both categories of bonds, we held no securities of any issuer that comprised more than 10% of that category at December 31, 2023. Education bonds and water and sewer utility bonds represented 47% and 35%, respectively, of our total investments in special revenue bonds based on their carrying values at December 31, 2023. Many of the issuers of the special revenue bonds we held at December 31, 2023 have the authority to impose ad valorem taxes. In that respect, many of the special revenue bonds we held are similar to general obligation bonds.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48,577 and $77,032 in other comprehensive (loss) income during the three months ended March 31, 2024 and 2023, respectively. At March 31, 2024 and December 31, 2023, net unrealized losses of $1.2 million and $1.3 million, respectively, remained within accumulated other comprehensive loss.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March 31, 2024 by contractual maturity. Expected maturities may differ from contractual maturities because issuers of the securities may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42,228</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41,549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130,205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121,873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237,241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216,118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217,519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12,755</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684,728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609,814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62,925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61,761</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170,058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160,071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280,797</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643,216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600,761</w:t>
            </w:r>
          </w:p>
        </w:tc>
        <w:tc>
          <w:tcPr>
            <w:tcW w:w="0" w:type="dxa"/>
            <w:vAlign w:val="bottom"/>
          </w:tcPr>
          <w:p>
            <w:pPr>
              <w:spacing w:after="0"/>
              <w:rPr>
                <w:sz w:val="1"/>
                <w:szCs w:val="1"/>
                <w:color w:val="auto"/>
              </w:rPr>
            </w:pPr>
          </w:p>
        </w:tc>
      </w:tr>
      <w:tr>
        <w:trPr>
          <w:trHeight w:val="21"/>
        </w:trPr>
        <w:tc>
          <w:tcPr>
            <w:tcW w:w="72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March 31, 2024 were as follows:</w:t>
            </w: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6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19,631</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28,883</w:t>
            </w:r>
          </w:p>
        </w:tc>
        <w:tc>
          <w:tcPr>
            <w:tcW w:w="0" w:type="dxa"/>
            <w:vAlign w:val="bottom"/>
          </w:tcPr>
          <w:p>
            <w:pPr>
              <w:spacing w:after="0"/>
              <w:rPr>
                <w:sz w:val="1"/>
                <w:szCs w:val="1"/>
                <w:color w:val="auto"/>
              </w:rPr>
            </w:pPr>
          </w:p>
        </w:tc>
      </w:tr>
      <w:tr>
        <w:trPr>
          <w:trHeight w:val="432"/>
        </w:trPr>
        <w:tc>
          <w:tcPr>
            <w:tcW w:w="77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2023 were as follows: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18,844</w:t>
            </w:r>
          </w:p>
        </w:tc>
        <w:tc>
          <w:tcPr>
            <w:tcW w:w="4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25,903</w:t>
            </w:r>
          </w:p>
        </w:tc>
        <w:tc>
          <w:tcPr>
            <w:tcW w:w="0" w:type="dxa"/>
            <w:vAlign w:val="bottom"/>
          </w:tcPr>
          <w:p>
            <w:pPr>
              <w:spacing w:after="0"/>
              <w:rPr>
                <w:sz w:val="1"/>
                <w:szCs w:val="1"/>
                <w:color w:val="auto"/>
              </w:rPr>
            </w:pPr>
          </w:p>
        </w:tc>
      </w:tr>
      <w:tr>
        <w:trPr>
          <w:trHeight w:val="570"/>
        </w:trPr>
        <w:tc>
          <w:tcPr>
            <w:tcW w:w="414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March 31,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37,188</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125,533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304,139</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54,577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343,673</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28,926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187,697</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20,245</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961,042</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2023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32,224</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116,538</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307,429</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50,631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353,863</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178,113</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18,291</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105,351</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955,943</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893 debt securities that were in an unrealized loss position at March 31, 2024. Based upon our analysis of general market conditions and underlying factors impacting these debt securities, we considered these declines in value to be temporary.</w:t>
      </w:r>
    </w:p>
    <w:p>
      <w:pPr>
        <w:spacing w:after="0" w:line="18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6 -</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personal lines and commercial lines segments based upon the underwriting results of our insurance subsidiaries using statutory accounting principles (“SAP”) that various state insurance departments prescribe or permit. Our management uses SAP to measure the performance of our insurance subsidiaries instead of United States generally accepted accounting principles (“GAAP”). SAP financial measures are considered non-GAAP financial measures under applicable SEC rules because they include or exclude certain items that the most comparable GAAP financial measures do not ordinarily include or exclude.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data by segment for the three months ended March 31, 2024 and 2023 is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Premiums earned: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133,187</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95,657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82,046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premiums earned</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10,972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241,141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(loss) gain: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(10,371)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(7,912)</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SAP underwriting loss</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(10,903)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GAAP underwriting loss</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gains (losses)</w:t>
            </w:r>
          </w:p>
        </w:tc>
        <w:tc>
          <w:tcPr>
            <w:tcW w:w="10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w:t>
            </w:r>
          </w:p>
        </w:tc>
        <w:tc>
          <w:tcPr>
            <w:tcW w:w="8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20" w:type="dxa"/>
            <w:vAlign w:val="bottom"/>
            <w:vMerge w:val="continue"/>
          </w:tcPr>
          <w:p>
            <w:pPr>
              <w:spacing w:after="0"/>
              <w:rPr>
                <w:sz w:val="24"/>
                <w:szCs w:val="24"/>
                <w:color w:val="auto"/>
              </w:rPr>
            </w:pPr>
          </w:p>
        </w:tc>
        <w:tc>
          <w:tcPr>
            <w:tcW w:w="8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Lines of Credit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agreement with Manufacturers and Traders Trust Company (“M&amp;T”) that related to a $20.0 million unsecured demand line of credit. The line of credit has no expiration date, no annual fees and no covenants. At March 31, 2024, we had no outstanding borrowings from M&amp;T and had the ability to borrow up to $20.0 million at an interest rate equal to the then-current Term SOFR rate plus 2.11%.</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March 31, 2024. The cash advance carries a fixed interest rate of 1.74% and is due in August 2024. The table below presents the amount of FHLB of Pittsburgh stock Atlantic States purchased, collateral pledged and assets related to Atlantic States’ membership in the FHLB of Pittsburgh at March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52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1,591,800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$41,087,980)</w:t>
            </w:r>
          </w:p>
        </w:tc>
        <w:tc>
          <w:tcPr>
            <w:tcW w:w="5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44,459,589</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5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3,579,560</w:t>
            </w:r>
          </w:p>
        </w:tc>
      </w:tr>
      <w:tr>
        <w:trPr>
          <w:trHeight w:val="570"/>
        </w:trPr>
        <w:tc>
          <w:tcPr>
            <w:tcW w:w="4760" w:type="dxa"/>
            <w:vAlign w:val="bottom"/>
          </w:tcPr>
          <w:p>
            <w:pPr>
              <w:spacing w:after="0"/>
              <w:rPr>
                <w:sz w:val="24"/>
                <w:szCs w:val="24"/>
                <w:color w:val="auto"/>
              </w:rPr>
            </w:pPr>
          </w:p>
        </w:tc>
        <w:tc>
          <w:tcPr>
            <w:tcW w:w="5280" w:type="dxa"/>
            <w:vAlign w:val="bottom"/>
          </w:tcPr>
          <w:p>
            <w:pPr>
              <w:jc w:val="right"/>
              <w:ind w:right="4259"/>
              <w:spacing w:after="0"/>
              <w:rPr>
                <w:sz w:val="20"/>
                <w:szCs w:val="20"/>
                <w:color w:val="auto"/>
              </w:rPr>
            </w:pPr>
            <w:r>
              <w:rPr>
                <w:rFonts w:ascii="Times New Roman" w:cs="Times New Roman" w:eastAsia="Times New Roman" w:hAnsi="Times New Roman"/>
                <w:sz w:val="14"/>
                <w:szCs w:val="14"/>
                <w:color w:val="auto"/>
              </w:rPr>
              <w:t>13</w:t>
            </w:r>
          </w:p>
        </w:tc>
        <w:tc>
          <w:tcPr>
            <w:tcW w:w="120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5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8 -</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3"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$286,001 and $251,773 for the three months ended March 31, 2024 and 2023, respectively, with a corresponding income tax benefit of $60,060 and $52,872, respectively. At March 31, 2024, we had $1.6 million of unrecognized compensation expense related to nonvested share-based compensation granted under our stock compensation plans that we expect to recognize over a weighted average period of approximately 1.8 years.</w:t>
      </w:r>
    </w:p>
    <w:p>
      <w:pPr>
        <w:spacing w:after="0" w:line="180"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We received cash from option exercises under all stock compensation plans during the three months ended March 31, 2024 and 2023 of $ 236,624 and $2.0 million, respectively. We realized actual tax benefits for the tax deductions related to those option exercises of $ 1,719 and $46,188 for the three months ended March 31, 2024 and 2023, respectively.</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8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March 31, 2024, we received two estimates per security from the pricing services, and we priced substantially all of our Level 1 and Level 2 investments using those prices. In our review of the estimates the pricing services provided at March 31, 2024, we did not identify any material discrepancies, and we did not make any adjustments to the estimates the pricing services provided.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5"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evaluate our assets and liabilities to determine the appropriate level at which to classify them for each reporting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37,739</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37,739</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195,170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280,797</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28,883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26,891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629,644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26,891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602,753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38,116</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269,020</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23,911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615,251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23,911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591,340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10 -</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At March 31, 2024 and December 31, 2023,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$8.1 million for our net state operating loss carryforward, which will expire between 2024 and 2043. We have determined that we are not required to establish a valuation allowance for our other deferred tax assets of $39.4 million and $38.4 million at March 31, 2024 and December 31, 2023, respectively, because it is more likely than not that we will realize these deferred tax assets through reversals of existing temporary differences, future taxable income and the implementation of tax planning strategies.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11 -</w:t>
      </w:r>
      <w:r>
        <w:rPr>
          <w:sz w:val="20"/>
          <w:szCs w:val="20"/>
          <w:color w:val="auto"/>
        </w:rPr>
        <w:tab/>
      </w:r>
      <w:r>
        <w:rPr>
          <w:rFonts w:ascii="Times New Roman" w:cs="Times New Roman" w:eastAsia="Times New Roman" w:hAnsi="Times New Roman"/>
          <w:sz w:val="17"/>
          <w:szCs w:val="17"/>
          <w:b w:val="1"/>
          <w:bCs w:val="1"/>
          <w:color w:val="auto"/>
        </w:rPr>
        <w:t>Liabilities for Losses and Loss Expenses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1,121,046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(437,014)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(451,184)</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 at January 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670,994</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146,413</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(8,307)</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138,106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47,886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41,205</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98,197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98,820</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paid</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146,083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140,025</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669,075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454,460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$8.4 million and $8.3 million for the three months ended March 31, 2024 and 2023,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2024 development represented 1.2% of the December 31, 2023 net carried reserves and resulted from lower-than-expected loss emergence or severity primarily in the commercial multi-peril, commercial automobile and homeowners lines of business. The majority of the 2024 development related to decreases in the liabilities for losses and loss expenses of prior years for Atlantic States and MICO. The 2023 development represented 1.2% of the December 31, 2022 net carried reserves and resulted primarily from lower-than-expected loss emergence or severity primarily in the commercial automobile, workers’ compensation and commercial multi-peril lines of business. The majority of the 2023 development related to decreases in the liabilities for losses and loss expenses of prior years for Atlantic States and MICO.</w:t>
      </w:r>
    </w:p>
    <w:p>
      <w:pPr>
        <w:spacing w:after="0" w:line="37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0"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three months ended March 31, 2024.</w:t>
      </w:r>
    </w:p>
    <w:p>
      <w:pPr>
        <w:spacing w:after="0" w:line="18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83"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12 -</w:t>
      </w:r>
      <w:r>
        <w:rPr>
          <w:sz w:val="20"/>
          <w:szCs w:val="20"/>
          <w:color w:val="auto"/>
        </w:rPr>
        <w:tab/>
      </w:r>
      <w:r>
        <w:rPr>
          <w:rFonts w:ascii="Times New Roman" w:cs="Times New Roman" w:eastAsia="Times New Roman" w:hAnsi="Times New Roman"/>
          <w:sz w:val="17"/>
          <w:szCs w:val="17"/>
          <w:b w:val="1"/>
          <w:bCs w:val="1"/>
          <w:color w:val="auto"/>
        </w:rPr>
        <w:t>Allowance for Expected Credit Losses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recoverable.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Fixed-Maturity Securities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March 31, 2024 and 2023 and changes in the allowance for expected credit losses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c>
          <w:tcPr>
            <w:tcW w:w="25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Ended March 31, 2024</w:t>
            </w:r>
          </w:p>
        </w:tc>
        <w:tc>
          <w:tcPr>
            <w:tcW w:w="160" w:type="dxa"/>
            <w:vAlign w:val="bottom"/>
          </w:tcPr>
          <w:p>
            <w:pPr>
              <w:spacing w:after="0"/>
              <w:rPr>
                <w:sz w:val="21"/>
                <w:szCs w:val="21"/>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 March 31, 2023</w:t>
            </w:r>
          </w:p>
        </w:tc>
      </w:tr>
      <w:tr>
        <w:trPr>
          <w:trHeight w:val="194"/>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Credit</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59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668,439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693,779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March 31, 2024 and 2023, and the changes in the allowance for expected credit losses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100" w:type="dxa"/>
            <w:vAlign w:val="bottom"/>
          </w:tcPr>
          <w:p>
            <w:pPr>
              <w:spacing w:after="0"/>
              <w:rPr>
                <w:sz w:val="18"/>
                <w:szCs w:val="18"/>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Ended March 31, 2024</w:t>
            </w:r>
          </w:p>
        </w:tc>
        <w:tc>
          <w:tcPr>
            <w:tcW w:w="100" w:type="dxa"/>
            <w:vAlign w:val="bottom"/>
          </w:tcPr>
          <w:p>
            <w:pPr>
              <w:spacing w:after="0"/>
              <w:rPr>
                <w:sz w:val="21"/>
                <w:szCs w:val="21"/>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 March 31, 2023</w:t>
            </w:r>
          </w:p>
        </w:tc>
        <w:tc>
          <w:tcPr>
            <w:tcW w:w="0" w:type="dxa"/>
            <w:vAlign w:val="bottom"/>
          </w:tcPr>
          <w:p>
            <w:pPr>
              <w:spacing w:after="0"/>
              <w:rPr>
                <w:sz w:val="1"/>
                <w:szCs w:val="1"/>
                <w:color w:val="auto"/>
              </w:rPr>
            </w:pPr>
          </w:p>
        </w:tc>
      </w:tr>
      <w:tr>
        <w:trPr>
          <w:trHeight w:val="194"/>
        </w:trPr>
        <w:tc>
          <w:tcPr>
            <w:tcW w:w="5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 Net</w:t>
            </w:r>
          </w:p>
        </w:tc>
        <w:tc>
          <w:tcPr>
            <w:tcW w:w="120" w:type="dxa"/>
            <w:vAlign w:val="bottom"/>
          </w:tcPr>
          <w:p>
            <w:pPr>
              <w:spacing w:after="0"/>
              <w:rPr>
                <w:sz w:val="18"/>
                <w:szCs w:val="18"/>
                <w:color w:val="auto"/>
              </w:rPr>
            </w:pP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Receivable, Net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of Allowance</w:t>
            </w:r>
          </w:p>
        </w:tc>
        <w:tc>
          <w:tcPr>
            <w:tcW w:w="13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20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456,522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w:t>
            </w: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7"/>
        </w:trPr>
        <w:tc>
          <w:tcPr>
            <w:tcW w:w="59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435,505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460,681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1"/>
        </w:trPr>
        <w:tc>
          <w:tcPr>
            <w:tcW w:w="5900" w:type="dxa"/>
            <w:vAlign w:val="bottom"/>
            <w:vMerge w:val="restart"/>
          </w:tcPr>
          <w:p>
            <w:pPr>
              <w:ind w:left="556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13 -</w:t>
      </w:r>
      <w:r>
        <w:rPr>
          <w:sz w:val="20"/>
          <w:szCs w:val="20"/>
          <w:color w:val="auto"/>
        </w:rPr>
        <w:tab/>
      </w:r>
      <w:r>
        <w:rPr>
          <w:rFonts w:ascii="Times New Roman" w:cs="Times New Roman" w:eastAsia="Times New Roman" w:hAnsi="Times New Roman"/>
          <w:sz w:val="17"/>
          <w:szCs w:val="17"/>
          <w:b w:val="1"/>
          <w:bCs w:val="1"/>
          <w:color w:val="auto"/>
        </w:rPr>
        <w:t>Impact of New Accounting Standards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2023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our financial statements on a consolidated basis in accordance with United States generally accepted accounting principles (“GAAP”).</w:t>
      </w:r>
    </w:p>
    <w:p>
      <w:pPr>
        <w:spacing w:after="0" w:line="162"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of these liabilities may differ from the estimates we provided. We regularly review our methods for making these estimates and we reflect any adjustment we consider necessary in our current consolidated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used automobile values, lengthening of repair completion times, increases in the cost of replacement automobile parts and rising labor rates. These trend changes give rise to greater uncertainty as to the pattern of future loss settlements. Related uncertainties regarding future trends include social inflation, availability and cost of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March 31, 2024. At March 31, 2024, for every 1% change in our insurance subsidiaries’ loss and loss expense reserves, net of reinsurance recoverable, the effect on our pre-tax results of operations would be approximately $6.9 million.</w:t>
      </w:r>
    </w:p>
    <w:p>
      <w:pPr>
        <w:spacing w:after="0" w:line="193"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rising inflation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92" w:lineRule="exact"/>
        <w:rPr>
          <w:sz w:val="20"/>
          <w:szCs w:val="20"/>
          <w:color w:val="auto"/>
        </w:rPr>
      </w:pPr>
    </w:p>
    <w:p>
      <w:pPr>
        <w:ind w:right="220" w:firstLine="445"/>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pool with Donegal Mutual exposes Atlantic States to adverse loss development on the business of Donegal Mutual that the pool includes. However, pooled business represents the predominant percentage of the net underwriting activity of both companies, and Donegal Mutual and Atlantic States share proportionately any adverse risk development relating to the pooled business. The business in the pool is homogeneous and each company has a pro-rata share of the entire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March 31, 2024 and December 31, 2023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217,292</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27,845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27,167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110,287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28,075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28,001</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12,271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150,633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153,462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437,014</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1,124,452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Adjusted Loss and Loss</w:t>
            </w: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100" w:type="dxa"/>
            <w:vAlign w:val="bottom"/>
          </w:tcPr>
          <w:p>
            <w:pPr>
              <w:spacing w:after="0"/>
              <w:rPr>
                <w:sz w:val="24"/>
                <w:szCs w:val="24"/>
                <w:color w:val="auto"/>
              </w:rPr>
            </w:pPr>
          </w:p>
        </w:tc>
      </w:tr>
      <w:tr>
        <w:trPr>
          <w:trHeight w:val="216"/>
        </w:trPr>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 and Loss Expense</w:t>
            </w:r>
          </w:p>
        </w:tc>
        <w:tc>
          <w:tcPr>
            <w:tcW w:w="24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 Reserves Net of</w:t>
            </w:r>
          </w:p>
        </w:tc>
        <w:tc>
          <w:tcPr>
            <w:tcW w:w="2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w:t>
            </w:r>
          </w:p>
        </w:tc>
        <w:tc>
          <w:tcPr>
            <w:tcW w:w="22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Stockholders’ Equity</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7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Reinsurance at</w:t>
            </w:r>
          </w:p>
        </w:tc>
        <w:tc>
          <w:tcPr>
            <w:tcW w:w="2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 at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00" w:type="dxa"/>
            <w:vAlign w:val="bottom"/>
          </w:tcPr>
          <w:p>
            <w:pPr>
              <w:spacing w:after="0"/>
              <w:rPr>
                <w:sz w:val="18"/>
                <w:szCs w:val="18"/>
                <w:color w:val="auto"/>
              </w:rPr>
            </w:pPr>
          </w:p>
        </w:tc>
      </w:tr>
      <w:tr>
        <w:trPr>
          <w:trHeight w:val="245"/>
        </w:trPr>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of Reinsurance</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24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 31, 2024(1)</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2023(1)</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624,560</w:t>
            </w:r>
          </w:p>
        </w:tc>
        <w:tc>
          <w:tcPr>
            <w:tcW w:w="23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11.3%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620,229</w:t>
            </w:r>
          </w:p>
        </w:tc>
        <w:tc>
          <w:tcPr>
            <w:tcW w:w="2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4"/>
              </w:rPr>
              <w:t>11.3%</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641,909</w:t>
            </w:r>
          </w:p>
        </w:tc>
        <w:tc>
          <w:tcPr>
            <w:tcW w:w="23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637,457</w:t>
            </w:r>
          </w:p>
        </w:tc>
        <w:tc>
          <w:tcPr>
            <w:tcW w:w="22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659,258</w:t>
            </w:r>
          </w:p>
        </w:tc>
        <w:tc>
          <w:tcPr>
            <w:tcW w:w="23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654,686</w:t>
            </w:r>
          </w:p>
        </w:tc>
        <w:tc>
          <w:tcPr>
            <w:tcW w:w="2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676,607</w:t>
            </w:r>
          </w:p>
        </w:tc>
        <w:tc>
          <w:tcPr>
            <w:tcW w:w="23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7"/>
              </w:rPr>
              <w:t>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671,914</w:t>
            </w:r>
          </w:p>
        </w:tc>
        <w:tc>
          <w:tcPr>
            <w:tcW w:w="22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7"/>
              </w:rPr>
              <w:t>Base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693,956</w:t>
            </w:r>
          </w:p>
        </w:tc>
        <w:tc>
          <w:tcPr>
            <w:tcW w:w="240" w:type="dxa"/>
            <w:vAlign w:val="bottom"/>
            <w:shd w:val="clear" w:color="auto" w:fill="CCEEFF"/>
          </w:tcPr>
          <w:p>
            <w:pPr>
              <w:spacing w:after="0"/>
              <w:rPr>
                <w:sz w:val="18"/>
                <w:szCs w:val="18"/>
                <w:color w:val="auto"/>
              </w:rPr>
            </w:pPr>
          </w:p>
        </w:tc>
        <w:tc>
          <w:tcPr>
            <w:tcW w:w="21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689,143</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711,305</w:t>
            </w:r>
          </w:p>
        </w:tc>
        <w:tc>
          <w:tcPr>
            <w:tcW w:w="23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706,372</w:t>
            </w:r>
          </w:p>
        </w:tc>
        <w:tc>
          <w:tcPr>
            <w:tcW w:w="22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7"/>
              </w:rPr>
              <w:t>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728,654</w:t>
            </w:r>
          </w:p>
        </w:tc>
        <w:tc>
          <w:tcPr>
            <w:tcW w:w="23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8"/>
              </w:rPr>
              <w:t>(5.7)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723,600</w:t>
            </w:r>
          </w:p>
        </w:tc>
        <w:tc>
          <w:tcPr>
            <w:tcW w:w="2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7"/>
              </w:rPr>
              <w:t>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746,003</w:t>
            </w:r>
          </w:p>
        </w:tc>
        <w:tc>
          <w:tcPr>
            <w:tcW w:w="23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740,829</w:t>
            </w:r>
          </w:p>
        </w:tc>
        <w:tc>
          <w:tcPr>
            <w:tcW w:w="22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204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763,352</w:t>
            </w:r>
          </w:p>
        </w:tc>
        <w:tc>
          <w:tcPr>
            <w:tcW w:w="23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758,057</w:t>
            </w:r>
          </w:p>
        </w:tc>
        <w:tc>
          <w:tcPr>
            <w:tcW w:w="224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712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99" w:lineRule="exact"/>
        <w:rPr>
          <w:sz w:val="20"/>
          <w:szCs w:val="20"/>
          <w:color w:val="auto"/>
        </w:rPr>
      </w:pPr>
    </w:p>
    <w:p>
      <w:pPr>
        <w:ind w:right="8960" w:firstLine="8"/>
        <w:spacing w:after="0" w:line="500"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 Non-GAAP Information</w:t>
      </w:r>
    </w:p>
    <w:p>
      <w:pPr>
        <w:spacing w:after="0" w:line="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3"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premiums earned to our net premiums written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215,233</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23,693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22,071</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7" w:lineRule="exact"/>
        <w:rPr>
          <w:rFonts w:ascii="Times New Roman" w:cs="Times New Roman" w:eastAsia="Times New Roman" w:hAnsi="Times New Roman"/>
          <w:sz w:val="18"/>
          <w:szCs w:val="18"/>
          <w:color w:val="auto"/>
        </w:rPr>
      </w:pPr>
    </w:p>
    <w:p>
      <w:pPr>
        <w:ind w:left="700" w:right="20" w:hanging="328"/>
        <w:spacing w:after="0" w:line="25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5"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months ended March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6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23"/>
        </w:trPr>
        <w:tc>
          <w:tcPr>
            <w:tcW w:w="448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5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5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4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r>
      <w:tr>
        <w:trPr>
          <w:trHeight w:val="22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4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w:t>
            </w:r>
          </w:p>
        </w:tc>
      </w:tr>
      <w:tr>
        <w:trPr>
          <w:trHeight w:val="21"/>
        </w:trPr>
        <w:tc>
          <w:tcPr>
            <w:tcW w:w="44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48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98.9</w:t>
            </w:r>
          </w:p>
        </w:tc>
      </w:tr>
      <w:tr>
        <w:trPr>
          <w:trHeight w:val="234"/>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r>
      <w:tr>
        <w:trPr>
          <w:trHeight w:val="552"/>
        </w:trPr>
        <w:tc>
          <w:tcPr>
            <w:tcW w:w="4480" w:type="dxa"/>
            <w:vAlign w:val="bottom"/>
          </w:tcPr>
          <w:p>
            <w:pPr>
              <w:spacing w:after="0"/>
              <w:rPr>
                <w:sz w:val="24"/>
                <w:szCs w:val="24"/>
                <w:color w:val="auto"/>
              </w:rPr>
            </w:pPr>
          </w:p>
        </w:tc>
        <w:tc>
          <w:tcPr>
            <w:tcW w:w="4120" w:type="dxa"/>
            <w:vAlign w:val="bottom"/>
          </w:tcPr>
          <w:p>
            <w:pPr>
              <w:jc w:val="right"/>
              <w:ind w:right="2811"/>
              <w:spacing w:after="0"/>
              <w:rPr>
                <w:sz w:val="20"/>
                <w:szCs w:val="20"/>
                <w:color w:val="auto"/>
              </w:rPr>
            </w:pPr>
            <w:r>
              <w:rPr>
                <w:rFonts w:ascii="Times New Roman" w:cs="Times New Roman" w:eastAsia="Times New Roman" w:hAnsi="Times New Roman"/>
                <w:sz w:val="14"/>
                <w:szCs w:val="14"/>
                <w:color w:val="auto"/>
              </w:rPr>
              <w:t>25</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2024 Compared to Three Months Ended March 31, 2023</w:t>
      </w:r>
    </w:p>
    <w:p>
      <w:pPr>
        <w:spacing w:after="0" w:line="227" w:lineRule="exact"/>
        <w:rPr>
          <w:sz w:val="20"/>
          <w:szCs w:val="20"/>
          <w:color w:val="auto"/>
        </w:rPr>
      </w:pPr>
    </w:p>
    <w:p>
      <w:pPr>
        <w:ind w:right="3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quarter of 2024 were $227.7 million, an increase of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5.8%, compared to $215.2 million for the first quarter of 2023, primarily reflecting solid premium retention and renewal premium increases.</w:t>
      </w:r>
    </w:p>
    <w:p>
      <w:pPr>
        <w:spacing w:after="0" w:line="158"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first quarter of 2024 were $251.4 million, an increase of $14.1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6.0%, from the $237.3 million of net premiums written for the first quarter of 2023. Commercial lines net premiums written decreased $0.9 million, or 0.5%, for the first quarter of 2024 compared to the first quarter of 2023. Personal lines net premiums written increased $15.0 million, or 18.5%, for the first quarter of 2024 compared to the first quarter of 2023. We attribute the decrease in commercial lines net premiums written primarily to planned attrition in states we are exiting or have targeted for profit improvement, offset partially by higher new business writings and a continuation of renewal premium increases in lines other than workers’ compensation. We attribute the increase in personal lines net premiums written primarily to renewal premium increases and strong policy retention.</w:t>
      </w:r>
    </w:p>
    <w:p>
      <w:pPr>
        <w:spacing w:after="0" w:line="183" w:lineRule="exact"/>
        <w:rPr>
          <w:sz w:val="20"/>
          <w:szCs w:val="20"/>
          <w:color w:val="auto"/>
        </w:rPr>
      </w:pPr>
    </w:p>
    <w:p>
      <w:pPr>
        <w:jc w:val="both"/>
        <w:ind w:right="3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$11.0 million for the first quarter of 2024, an increase of $1.6 million, or 16.1%,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 million for the first quarter of 2023. We attribute the increase primarily to an increase in the average investment yield relative to the first quarter of 2023.</w:t>
      </w:r>
    </w:p>
    <w:p>
      <w:pPr>
        <w:spacing w:after="0" w:line="17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Investment Gains (Losses). </w:t>
      </w:r>
      <w:r>
        <w:rPr>
          <w:rFonts w:ascii="Times New Roman" w:cs="Times New Roman" w:eastAsia="Times New Roman" w:hAnsi="Times New Roman"/>
          <w:sz w:val="18"/>
          <w:szCs w:val="18"/>
          <w:color w:val="auto"/>
        </w:rPr>
        <w:t>Net investment gains for the first quarter of 2024 were $2.1 million, compared to net investment losses of $331,189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quarter of 2023. The net investment gains for the first quarter of 2024 resulted primarily from the net change in unrealized gains and losses within our equity securities portfolio at March 31, 2024. We did not recognize any impairment losses for individual securities in our investment portfolio during the first quarter of 2024 or 2023.</w:t>
      </w:r>
    </w:p>
    <w:p>
      <w:pPr>
        <w:spacing w:after="0" w:line="180" w:lineRule="exact"/>
        <w:rPr>
          <w:sz w:val="20"/>
          <w:szCs w:val="20"/>
          <w:color w:val="auto"/>
        </w:rPr>
      </w:pPr>
    </w:p>
    <w:p>
      <w:pPr>
        <w:ind w:right="20" w:firstLine="44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Losses and Loss Expenses. </w:t>
      </w:r>
      <w:r>
        <w:rPr>
          <w:rFonts w:ascii="Times New Roman" w:cs="Times New Roman" w:eastAsia="Times New Roman" w:hAnsi="Times New Roman"/>
          <w:sz w:val="17"/>
          <w:szCs w:val="17"/>
          <w:color w:val="auto"/>
        </w:rPr>
        <w:t>Our insurance subsidiaries’ loss ratio, which is the ratio of incurred losses and loss expenses to premiums earned,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66.3% for the first quarter of 2024, an increase from our insurance subsidiaries’ loss ratio of 64.2% for the first quarter of 2023. We attribute this increase primarily to increased core losses and large fire losses, which we define as individual fire losses in excess of $50,000, offset partially by decreased weather-related losses. The core loss ratio, which excludes weather-related losses, large fire losses and net favorable development of reserves for losses incurred in prior accident years, was 58.7% for the first quarter of 2024, compared to 56.5% for the first quarter of 2023. For the commercial lines segment, the core loss ratio of 59.0% for the first quarter of 2024 increased modestly from 58.2% for the first quarter of 2023. For the personal lines segment, the core loss ratio of 58.1% for the first quarter of 2024 increased from 53.7% for the first quarter of 2023, due largely to ongoing inflationary impacts on loss costs for that segment. Weather-related losses were $10.8 million, or 4.7 percentage points of the loss ratio, for the first quarter of 2024, compared to $14.1 million, or 6.5 percentage points of the loss ratio, for the first quarter of 2023. The impact of weather-related loss activity to the loss ratio for the first quarter of</w:t>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2024 was in line with our previous five-year average of 4.7 percentage points for first quarter weather-related losses. Large fire losses for the first quarter of 2024 were $15.0 million, or 6.6 percentage points of the loss ratio, compared to $10.9 million, or 5.1 percentage points of the loss ratio, for the first quarter of 2023. On a statutory basis, our insurance subsidiaries’ commercial lines loss ratio was 66.0% for the first quarter of 2024, compared to 63.2% for the first quarter of 2023, primarily due to increases in the workers’ compensation and commercial automobile loss ratios. The personal lines statutory loss ratio of our insurance subsidiaries increased to 68.5% for the first quarter of 2024, compared to 66.4% for the first quarter of 2023. We attribute this increase primarily to an increase in the homeowners loss ratio. Our insurance subsidiaries experienced favorable loss reserve development for the first quarter of 2024 of approximately $8.4 million that decreased the loss ratio by 3.7 percentage points, compared to $8.3 million that decreased the loss ratio for the first quarter of 2023 by 3.9 percentage points. Our insurance subsidiaries experienced favorable development primarily in the commercial multi-peril, commercial automobile and homeowners lines of business for the first quarter of 2024, with the majority of the impact relating to reserves for accident years 2020 through 2023.</w:t>
      </w:r>
    </w:p>
    <w:p>
      <w:pPr>
        <w:spacing w:after="0" w:line="191" w:lineRule="exact"/>
        <w:rPr>
          <w:sz w:val="20"/>
          <w:szCs w:val="20"/>
          <w:color w:val="auto"/>
        </w:rPr>
      </w:pPr>
    </w:p>
    <w:p>
      <w:pPr>
        <w:ind w:right="2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35.7% for the first quarter of 2024, compared to 36.4% for the first quarter of 2023. The decrease in the expense ratio primarily reflected early impacts of expense reduction initiatives, offset partially by higher technology costs related to our ongoing systems modernization initiatives for the first quarter of 2024 compared to the prior-year quarter. We expect the impact from allocated costs from Donegal Mutual to our insurance subsidiaries related to the ongoing systems modernization project will peak at approximately 1.3 percentage points of the expense ratio for the full year of 2024 before beginning to subside gradually in subsequent years.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102.4% and 101.2% for the first quarter of 2024 and 2023, respectively. We attribute the increase in the combined ratio primarily to an increase in the loss ratio for the first quarter of 2024 compared to the first quarter of 2023.</w:t>
      </w:r>
    </w:p>
    <w:p>
      <w:pPr>
        <w:spacing w:after="0" w:line="180" w:lineRule="exact"/>
        <w:rPr>
          <w:sz w:val="20"/>
          <w:szCs w:val="20"/>
          <w:color w:val="auto"/>
        </w:rPr>
      </w:pPr>
    </w:p>
    <w:p>
      <w:pPr>
        <w:jc w:val="both"/>
        <w:ind w:right="2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$1.3 million for the first quarter of 2024, representing an effective tax rate of 17.8%.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$1.1 million for the first quarter of 2023, representing an effective tax rate of 17.4%. The income tax tax expense for the first quarter of 2024 and 2023 represented estimates based on our projected annual taxable income and effective tax rates.</w:t>
      </w:r>
    </w:p>
    <w:p>
      <w:pPr>
        <w:spacing w:after="0" w:line="173"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quarter of 2024 was $6.0 million, or $.18 per share of Class A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diluted basis and $.16 per share of Class B common stock, compared to $5.2 million, or $.16 per share of Class A common stock on a diluted basis and $.15 per share of Class B common stock, for the first quarter of 2023. We had 27.8 million and 27.3 million Class A shares outstanding at March 31, 2024 and 2023, respectively. We had 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60" w:firstLine="445"/>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investment maturities.</w:t>
      </w:r>
    </w:p>
    <w:p>
      <w:pPr>
        <w:spacing w:after="0" w:line="176"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operations have historically generated sufficient net positive cash flow to fund our commitments and add to our investment portfolio, thereby increasing future investment returns and enhancing our liquidity. The impact of the pooling agreement between Donegal Mutual and Atlantic States has historically been cash-flow positive because of the consistent underwriting profitability of the pool. Donegal Mutual and Atlantic States settle their respective obligations to each other under the pool monthly, thereby resulting in cash flows substantially similar to the cash flows that would result from each company writing the business directly. We have not experienced any unusual variations in the timing of claim payments associated with the loss reserves of our insurance subsidiaries. We maintain significant liquidity in our investment portfolio in the form of readily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thereby providing an additional measure of liquidity to meet our obligations should an unexpected variation occur in the future. Our operating activities provided (used) net cash flows in the first three months of 2024 and 2023 of $4.8 million and ($680,734), respectively.</w:t>
      </w:r>
    </w:p>
    <w:p>
      <w:pPr>
        <w:spacing w:after="0" w:line="194" w:lineRule="exact"/>
        <w:rPr>
          <w:sz w:val="20"/>
          <w:szCs w:val="20"/>
          <w:color w:val="auto"/>
        </w:rPr>
      </w:pPr>
    </w:p>
    <w:p>
      <w:pPr>
        <w:jc w:val="both"/>
        <w:ind w:right="280" w:firstLine="445"/>
        <w:spacing w:after="0" w:line="266" w:lineRule="auto"/>
        <w:rPr>
          <w:sz w:val="20"/>
          <w:szCs w:val="20"/>
          <w:color w:val="auto"/>
        </w:rPr>
      </w:pPr>
      <w:r>
        <w:rPr>
          <w:rFonts w:ascii="Times New Roman" w:cs="Times New Roman" w:eastAsia="Times New Roman" w:hAnsi="Times New Roman"/>
          <w:sz w:val="18"/>
          <w:szCs w:val="18"/>
          <w:color w:val="auto"/>
        </w:rPr>
        <w:t>At March 31, 2024, we had no outstanding borrowings under our line of credit with M&amp;T and had the ability to borrow up to $20.0 million at an interest rate equal to the then-current Term SOFR rate plus 2.11%. At March 31, 2024, Atlantic States had a $35.0 million outstanding advance with the FHLB of Pittsburgh that carries a fixed interest rate of 1.74%.</w:t>
      </w:r>
    </w:p>
    <w:p>
      <w:pPr>
        <w:spacing w:after="0" w:line="176"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We show these liabilities net of reinsurance recoverable on unpaid losses and loss expenses to reflect expected future cash flows related to such liabilities.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We discuss in Note 7 – Borrowings our estimate of the timing of the amounts payable for the borrowings under our lines of credit based on their contractual maturities.</w:t>
      </w:r>
    </w:p>
    <w:p>
      <w:pPr>
        <w:spacing w:after="0" w:line="16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and in privately negotiated transactions. We did not purchase any shares of our Class A common stock under this program during the three months ended March 31, 2024 or 2023. We have purchased a total of 57,658 shares of our Class A common stock under this program from its inception through March 31, 2024.</w:t>
      </w:r>
    </w:p>
    <w:p>
      <w:pPr>
        <w:spacing w:after="0" w:line="183"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On April 18, 2024, our board of directors declared quarterly cash dividends of $.1725 per share of our Class A common stock and $.155 per share of our Class B common stock, payable on May 22, 2024 to our stockholders of record as of the close of business on May 8, 2024. We are not subject to any restrictions on our payment of dividends to our stockholders, although there are state law restrictions on the payment of dividends by our insurance subsidiaries to us. Dividends from our insurance subsidiaries are our principal source of cash for payment of dividends to our stockholders. Our insurance subsidiaries are subject to regulations that restrict the payment of dividends from statutory surplus and may require prior approval of their domiciliary insurance regulatory authorities. Our insurance subsidiaries are also subject to risk based capital (“RBC”) requirements that limit their ability to pay dividends to us. Our insurance subsidiaries’ statutory capital and surplus at December 31, 2023 exceeded the amount of statutory capital and surplus necessary to satisfy regulatory requirements, including the RBC requirements, by a significant margin. Our insurance subsidiaries did not pay any dividends to us during the first three months of 2024. Amounts remaining available for distribution to us as dividends from our insurance subsidiaries without prior approval of their domiciliary insurance regulatory authorities in 2024 are $27.4 million from Atlantic States, $7.2 million from MICO and $5.0 million from Peninsula, or a total of approximately $39.6 million.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2024,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8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2023 through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March 31, 2024,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over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right="40" w:firstLine="445"/>
        <w:spacing w:after="0" w:line="252"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labor shortages and escalating medical, automobile and property repair costs), adverse and catastrophic weather events (including from changing climate conditions), our ability to maintain profitable operations (including our ability to underwrite risks effectively and charge adequate premium rates),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1A.Risk Factors.</w:t>
      </w:r>
    </w:p>
    <w:p>
      <w:pPr>
        <w:spacing w:after="0" w:line="2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2023 Annual Report on Form 10-K that we filed with the SEC on March 6, 2024. There have been no material changes in the risk factors we disclosed in that Form 10-K Report during the three months ended March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 w:right="4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824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216"/>
        </w:trPr>
        <w:tc>
          <w:tcPr>
            <w:tcW w:w="3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16"/>
        </w:trPr>
        <w:tc>
          <w:tcPr>
            <w:tcW w:w="101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w:t>
            </w:r>
          </w:p>
        </w:tc>
        <w:tc>
          <w:tcPr>
            <w:tcW w:w="10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1700" w:type="dxa"/>
            <w:vAlign w:val="bottom"/>
            <w:gridSpan w:val="4"/>
            <w:shd w:val="clear" w:color="auto" w:fill="CCEEFF"/>
          </w:tcPr>
          <w:p>
            <w:pPr>
              <w:ind w:left="700"/>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4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Donegal Group Inc. 2024 Equity Incentive Plan for Employees.</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w:t>
            </w:r>
          </w:p>
        </w:tc>
      </w:tr>
      <w:tr>
        <w:trPr>
          <w:trHeight w:val="216"/>
        </w:trPr>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700" w:type="dxa"/>
            <w:vAlign w:val="bottom"/>
            <w:gridSpan w:val="4"/>
            <w:shd w:val="clear" w:color="auto" w:fill="CCEEFF"/>
          </w:tcPr>
          <w:p>
            <w:pPr>
              <w:ind w:left="700"/>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4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Donegal Group Inc. 2024 Equity Incentive Plan for Directors.</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w:t>
            </w:r>
          </w:p>
        </w:tc>
      </w:tr>
      <w:tr>
        <w:trPr>
          <w:trHeight w:val="216"/>
        </w:trPr>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Exhibits</w:t>
            </w:r>
          </w:p>
        </w:tc>
        <w:tc>
          <w:tcPr>
            <w:tcW w:w="22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84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84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84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Statement of Chief Executive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84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Statement of Chief Financial Officer pursuant to 18 U.S.C. Section 1350 of Title 18 of the United States Code.</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980" w:right="440" w:hanging="486"/>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S-8 Registration Statement filed on April 25, 2024.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3, 2024</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2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3, 2024</w:t>
      </w:r>
      <w:r>
        <w:rPr>
          <w:sz w:val="20"/>
          <w:szCs w:val="20"/>
          <w:color w:val="auto"/>
        </w:rPr>
        <w:tab/>
      </w:r>
      <w:r>
        <w:rPr>
          <w:rFonts w:ascii="Times New Roman" w:cs="Times New Roman" w:eastAsia="Times New Roman" w:hAnsi="Times New Roman"/>
          <w:sz w:val="17"/>
          <w:szCs w:val="17"/>
          <w:b w:val="1"/>
          <w:bCs w:val="1"/>
          <w:color w:val="auto"/>
        </w:rPr>
        <w:t xml:space="preserve">By: </w:t>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5" w:right="7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25" w:lineRule="exact"/>
        <w:rPr>
          <w:sz w:val="20"/>
          <w:szCs w:val="20"/>
          <w:color w:val="auto"/>
        </w:rPr>
      </w:pPr>
    </w:p>
    <w:p>
      <w:pPr>
        <w:ind w:left="360" w:hanging="190"/>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Donegal Group Inc.;</w:t>
      </w:r>
    </w:p>
    <w:p>
      <w:pPr>
        <w:spacing w:after="0" w:line="225" w:lineRule="exact"/>
        <w:rPr>
          <w:rFonts w:ascii="Times New Roman" w:cs="Times New Roman" w:eastAsia="Times New Roman" w:hAnsi="Times New Roman"/>
          <w:sz w:val="18"/>
          <w:szCs w:val="18"/>
          <w:color w:val="auto"/>
        </w:rPr>
      </w:pPr>
    </w:p>
    <w:p>
      <w:pPr>
        <w:ind w:right="260" w:firstLine="170"/>
        <w:spacing w:after="0" w:line="282"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170"/>
        <w:spacing w:after="0" w:line="282"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170"/>
        <w:spacing w:after="0" w:line="266"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60" w:firstLine="332"/>
        <w:spacing w:after="0" w:line="266"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60" w:firstLine="332"/>
        <w:spacing w:after="0" w:line="282"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20" w:firstLine="170"/>
        <w:spacing w:after="0" w:line="282"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60" w:firstLine="332"/>
        <w:spacing w:after="0" w:line="282"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May 3, 2024</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25" w:lineRule="exact"/>
        <w:rPr>
          <w:sz w:val="20"/>
          <w:szCs w:val="20"/>
          <w:color w:val="auto"/>
        </w:rPr>
      </w:pPr>
    </w:p>
    <w:p>
      <w:pPr>
        <w:ind w:left="360" w:hanging="190"/>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Donegal Group Inc.;</w:t>
      </w:r>
    </w:p>
    <w:p>
      <w:pPr>
        <w:spacing w:after="0" w:line="225" w:lineRule="exact"/>
        <w:rPr>
          <w:rFonts w:ascii="Times New Roman" w:cs="Times New Roman" w:eastAsia="Times New Roman" w:hAnsi="Times New Roman"/>
          <w:sz w:val="18"/>
          <w:szCs w:val="18"/>
          <w:color w:val="auto"/>
        </w:rPr>
      </w:pPr>
    </w:p>
    <w:p>
      <w:pPr>
        <w:ind w:right="260" w:firstLine="170"/>
        <w:spacing w:after="0" w:line="282" w:lineRule="auto"/>
        <w:tabs>
          <w:tab w:leader="none" w:pos="3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170"/>
        <w:spacing w:after="0" w:line="282" w:lineRule="auto"/>
        <w:tabs>
          <w:tab w:leader="none" w:pos="3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170"/>
        <w:spacing w:after="0" w:line="266" w:lineRule="auto"/>
        <w:tabs>
          <w:tab w:leader="none" w:pos="3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460" w:firstLine="332"/>
        <w:spacing w:after="0" w:line="266" w:lineRule="auto"/>
        <w:tabs>
          <w:tab w:leader="none" w:pos="5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60" w:firstLine="332"/>
        <w:spacing w:after="0" w:line="282" w:lineRule="auto"/>
        <w:tabs>
          <w:tab w:leader="none" w:pos="5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20" w:firstLine="170"/>
        <w:spacing w:after="0" w:line="282" w:lineRule="auto"/>
        <w:tabs>
          <w:tab w:leader="none" w:pos="3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60" w:firstLine="332"/>
        <w:spacing w:after="0" w:line="282" w:lineRule="auto"/>
        <w:tabs>
          <w:tab w:leader="none" w:pos="5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May 3, 2024</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March 31, 2024,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March 31, 2024,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44" Type="http://schemas.openxmlformats.org/officeDocument/2006/relationships/hyperlink" Target="https://www.sec.gov/Archives/edgar/data/800457/000114036124022070/ny20027659x1_ex99-1.htm" TargetMode="External"/><Relationship Id="rId45" Type="http://schemas.openxmlformats.org/officeDocument/2006/relationships/hyperlink" Target="https://www.sec.gov/Archives/edgar/data/800457/000114036124022070/ny20027659x1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2024-05-03T13:09:42Z</dcterms:created>
  <dcterms:modified xsi:type="dcterms:W3CDTF">2024-05-03T13:09:42Z</dcterms:modified>
</cp:coreProperties>
</file>