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132715</wp:posOffset>
            </wp:positionV>
            <wp:extent cx="234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165100</wp:posOffset>
            </wp:positionV>
            <wp:extent cx="234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80" w:right="1600" w:hanging="3872"/>
        <w:spacing w:after="0" w:line="263"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9" w:lineRule="exact"/>
        <w:rPr>
          <w:sz w:val="24"/>
          <w:szCs w:val="24"/>
          <w:color w:val="auto"/>
        </w:rPr>
      </w:pPr>
    </w:p>
    <w:p>
      <w:pPr>
        <w:ind w:left="3560"/>
        <w:spacing w:after="0"/>
        <w:tabs>
          <w:tab w:leader="none" w:pos="6660" w:val="left"/>
          <w:tab w:leader="none" w:pos="7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58"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606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40" w:type="dxa"/>
            <w:vAlign w:val="bottom"/>
          </w:tcPr>
          <w:p>
            <w:pPr>
              <w:spacing w:after="0"/>
              <w:rPr>
                <w:sz w:val="20"/>
                <w:szCs w:val="20"/>
                <w:color w:val="auto"/>
              </w:rPr>
            </w:pPr>
          </w:p>
        </w:tc>
      </w:tr>
      <w:tr>
        <w:trPr>
          <w:trHeight w:val="199"/>
        </w:trPr>
        <w:tc>
          <w:tcPr>
            <w:tcW w:w="214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0"/>
        </w:trPr>
        <w:tc>
          <w:tcPr>
            <w:tcW w:w="606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23-2424711</w:t>
            </w:r>
          </w:p>
        </w:tc>
      </w:tr>
      <w:tr>
        <w:trPr>
          <w:trHeight w:val="216"/>
        </w:trPr>
        <w:tc>
          <w:tcPr>
            <w:tcW w:w="606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06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06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1195 River Road, P.O. Box 302, Marietta, PA 17547</w:t>
            </w:r>
          </w:p>
        </w:tc>
        <w:tc>
          <w:tcPr>
            <w:tcW w:w="1440" w:type="dxa"/>
            <w:vAlign w:val="bottom"/>
          </w:tcPr>
          <w:p>
            <w:pPr>
              <w:spacing w:after="0"/>
              <w:rPr>
                <w:sz w:val="24"/>
                <w:szCs w:val="24"/>
                <w:color w:val="auto"/>
              </w:rPr>
            </w:pPr>
          </w:p>
        </w:tc>
      </w:tr>
      <w:tr>
        <w:trPr>
          <w:trHeight w:val="238"/>
        </w:trPr>
        <w:tc>
          <w:tcPr>
            <w:tcW w:w="606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440" w:type="dxa"/>
            <w:vAlign w:val="bottom"/>
          </w:tcPr>
          <w:p>
            <w:pPr>
              <w:spacing w:after="0"/>
              <w:rPr>
                <w:sz w:val="20"/>
                <w:szCs w:val="20"/>
                <w:color w:val="auto"/>
              </w:rPr>
            </w:pPr>
          </w:p>
        </w:tc>
      </w:tr>
      <w:tr>
        <w:trPr>
          <w:trHeight w:val="410"/>
        </w:trPr>
        <w:tc>
          <w:tcPr>
            <w:tcW w:w="584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(717) 426-1931</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606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142875</wp:posOffset>
            </wp:positionV>
            <wp:extent cx="23488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2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8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16" w:right="339" w:bottom="2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300" w:space="720"/>
            <w:col w:w="2060" w:space="720"/>
            <w:col w:w="2060" w:space="720"/>
            <w:col w:w="2660"/>
          </w:cols>
          <w:pgMar w:left="320" w:top="516" w:right="339" w:bottom="2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16" w:right="339" w:bottom="20" w:gutter="0" w:footer="0" w:header="0"/>
          <w:type w:val="continuous"/>
        </w:sectPr>
      </w:pPr>
    </w:p>
    <w:p>
      <w:pPr>
        <w:spacing w:after="0" w:line="190" w:lineRule="exact"/>
        <w:rPr>
          <w:sz w:val="24"/>
          <w:szCs w:val="24"/>
          <w:color w:val="auto"/>
        </w:rPr>
      </w:pPr>
    </w:p>
    <w:p>
      <w:pPr>
        <w:ind w:right="6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2"/>
        </w:trPr>
        <w:tc>
          <w:tcPr>
            <w:tcW w:w="42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Class A Common Stock, $.01 par value</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DGICA</w:t>
            </w:r>
          </w:p>
        </w:tc>
        <w:tc>
          <w:tcPr>
            <w:tcW w:w="42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432"/>
        </w:trPr>
        <w:tc>
          <w:tcPr>
            <w:tcW w:w="42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DGICB</w:t>
            </w:r>
          </w:p>
        </w:tc>
        <w:tc>
          <w:tcPr>
            <w:tcW w:w="42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27,906,875 shares of Class A Common Stock, par value $0.01 per share, and 5,576,775 shares of Class B Common Stock, par value $0.01 per share, outstanding on 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516" w:right="339" w:bottom="2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740" w:type="dxa"/>
            <w:vAlign w:val="bottom"/>
            <w:gridSpan w:val="1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INFORMATION</w:t>
            </w:r>
          </w:p>
        </w:tc>
        <w:tc>
          <w:tcPr>
            <w:tcW w:w="660" w:type="dxa"/>
            <w:vAlign w:val="bottom"/>
            <w:shd w:val="clear" w:color="auto" w:fill="CCEEFF"/>
          </w:tcPr>
          <w:p>
            <w:pPr>
              <w:spacing w:after="0"/>
              <w:rPr>
                <w:sz w:val="18"/>
                <w:szCs w:val="18"/>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9740" w:type="dxa"/>
            <w:vAlign w:val="bottom"/>
            <w:gridSpan w:val="1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660" w:type="dxa"/>
            <w:vAlign w:val="bottom"/>
            <w:shd w:val="clear" w:color="auto" w:fill="CCEEFF"/>
          </w:tcPr>
          <w:p>
            <w:pPr>
              <w:spacing w:after="0"/>
              <w:rPr>
                <w:sz w:val="18"/>
                <w:szCs w:val="18"/>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399"/>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9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00" w:type="dxa"/>
            <w:vAlign w:val="bottom"/>
            <w:gridSpan w:val="3"/>
            <w:vMerge w:val="continue"/>
          </w:tcPr>
          <w:p>
            <w:pPr>
              <w:spacing w:after="0"/>
              <w:rPr>
                <w:sz w:val="13"/>
                <w:szCs w:val="13"/>
                <w:color w:val="auto"/>
              </w:rPr>
            </w:pPr>
          </w:p>
        </w:tc>
        <w:tc>
          <w:tcPr>
            <w:tcW w:w="19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 at amortized cost (net of allowance for expected credit losses of $1,353,571 and $1,325,847)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690,580,051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679,497,038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604,168,056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589,348,243</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32,455,954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25,902,956</w:t>
            </w:r>
          </w:p>
        </w:tc>
        <w:tc>
          <w:tcPr>
            <w:tcW w:w="0" w:type="dxa"/>
            <w:vAlign w:val="bottom"/>
          </w:tcPr>
          <w:p>
            <w:pPr>
              <w:spacing w:after="0"/>
              <w:rPr>
                <w:sz w:val="1"/>
                <w:szCs w:val="1"/>
                <w:color w:val="auto"/>
              </w:rPr>
            </w:pPr>
          </w:p>
        </w:tc>
      </w:tr>
      <w:tr>
        <w:trPr>
          <w:trHeight w:val="223"/>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Short-term investments, at cost, which approximates fair value</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16,570,667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32,305,408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1,343,774,728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1,327,053,645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w:t>
            </w:r>
          </w:p>
        </w:tc>
        <w:tc>
          <w:tcPr>
            <w:tcW w:w="19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24,225,596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23,792,273</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10,323,445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9,945,714</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203,813,652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179,591,821</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$932,350 and $1,394,074)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440,857,671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441,431,334</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80,926,482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75,043,404</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19,710,757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19,532,525</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186,323,040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168,724,465</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2,555,448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2,633,405</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 securities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1,501,079</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6,322,318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8,102,321</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9,819,685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1,907,527</w:t>
            </w:r>
          </w:p>
        </w:tc>
        <w:tc>
          <w:tcPr>
            <w:tcW w:w="0" w:type="dxa"/>
            <w:vAlign w:val="bottom"/>
          </w:tcPr>
          <w:p>
            <w:pPr>
              <w:spacing w:after="0"/>
              <w:rPr>
                <w:sz w:val="1"/>
                <w:szCs w:val="1"/>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5,625,354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5,625,354</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958,010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958,010</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2,335,253,199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2,266,293,888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62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80" w:type="dxa"/>
            <w:vAlign w:val="bottom"/>
            <w:tcBorders>
              <w:top w:val="single" w:sz="8" w:color="auto"/>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1,147,418,755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1,126,156,838</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653,579,467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599,411,468</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3,511,439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3,946,974</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3,935,320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8,758,976</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5,569,992</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7,732,351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7,704,286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1,851,177,332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1,786,548,534</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2,000,000 shares; none issued</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2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50,000,000 shares, issued 30,862,670 and 30,764,555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27,860,082 and 27,761,967 shares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308,627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307,646</w:t>
            </w:r>
          </w:p>
        </w:tc>
        <w:tc>
          <w:tcPr>
            <w:tcW w:w="0" w:type="dxa"/>
            <w:vAlign w:val="bottom"/>
          </w:tcPr>
          <w:p>
            <w:pPr>
              <w:spacing w:after="0"/>
              <w:rPr>
                <w:sz w:val="1"/>
                <w:szCs w:val="1"/>
                <w:color w:val="auto"/>
              </w:rPr>
            </w:pPr>
          </w:p>
        </w:tc>
      </w:tr>
      <w:tr>
        <w:trPr>
          <w:trHeight w:val="198"/>
        </w:trPr>
        <w:tc>
          <w:tcPr>
            <w:tcW w:w="862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authorized 10,000,000 shares, issued 5,649,240 shares and outstanding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5,576,775 shares</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337,772,950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335,694,478</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(34,859,564)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(32,881,822)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222,023,719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217,794,917</w:t>
            </w:r>
          </w:p>
        </w:tc>
        <w:tc>
          <w:tcPr>
            <w:tcW w:w="0" w:type="dxa"/>
            <w:vAlign w:val="bottom"/>
          </w:tcPr>
          <w:p>
            <w:pPr>
              <w:spacing w:after="0"/>
              <w:rPr>
                <w:sz w:val="1"/>
                <w:szCs w:val="1"/>
                <w:color w:val="auto"/>
              </w:rPr>
            </w:pPr>
          </w:p>
        </w:tc>
      </w:tr>
      <w:tr>
        <w:trPr>
          <w:trHeight w:val="223"/>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(41,226,357)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484,075,867</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479,745,354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2,335,253,199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2,266,293,888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234,311,147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216,260,037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11,068,499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10,157,459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gains (includes $81,410 and $147,636 accumulated other comprehensive income reclassifications)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2,504,012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77,504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86,708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578,727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246,772,546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229,195,919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165,360,319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151,234,696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40,656,000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37,935,000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34,037,409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35,948,337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1,345,638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154,636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365,241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241,760,104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226,942,441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5,012,442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$17,096 and $31,003 income tax expense from reclassification items)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256,055</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4,152,777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360" w:type="dxa"/>
            <w:vAlign w:val="bottom"/>
            <w:vMerge w:val="restart"/>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320" w:type="dxa"/>
            <w:vAlign w:val="bottom"/>
          </w:tcPr>
          <w:p>
            <w:pPr>
              <w:spacing w:after="0"/>
              <w:rPr>
                <w:sz w:val="24"/>
                <w:szCs w:val="24"/>
                <w:color w:val="auto"/>
              </w:rPr>
            </w:pPr>
          </w:p>
        </w:tc>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loss during the period, net of income tax benefit of $82,974 and $1,964,085</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(312,138)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(7,388,700)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gains included in net income, net of income tax expense of $17,096 and $31,003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(116,633)</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(376,452)</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(7,505,333)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3,776,325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(5,507,910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462,059,826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431,493,197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22,040,826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19,606,537</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gains (includes $4,359 and ($2,052,037) accumulated other comprehensive income</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2,850,047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2,172,823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176,055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803,389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487,913,415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453,941,690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316,256,734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289,340,585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80,258,000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75,733,000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75,777,277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76,559,774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2,688,978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307,593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810,175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475,652,577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445,391,779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12,260,838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$915 and ($430,928) income tax expense (benefit) from reclassification items)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1,348,892</w:t>
            </w: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10,108,328</w:t>
            </w:r>
          </w:p>
        </w:tc>
        <w:tc>
          <w:tcPr>
            <w:tcW w:w="2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7,201,019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vMerge w:val="restart"/>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320" w:type="dxa"/>
            <w:vAlign w:val="bottom"/>
          </w:tcPr>
          <w:p>
            <w:pPr>
              <w:spacing w:after="0"/>
              <w:rPr>
                <w:sz w:val="24"/>
                <w:szCs w:val="24"/>
                <w:color w:val="auto"/>
              </w:rPr>
            </w:pPr>
          </w:p>
        </w:tc>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10,108,328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loss during the period, net of income tax benefit of $524,825 and $1,360,695</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(1,974,298)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(5,118,804)</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(gains) losses included in net income, net of income tax expense (benefit) of $915</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($430,928)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1,621,109</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(1,977,742)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(3,497,695)</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8,130,586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3,703,324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6"/>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20" w:type="dxa"/>
            <w:vAlign w:val="bottom"/>
            <w:gridSpan w:val="8"/>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Additional</w:t>
            </w:r>
          </w:p>
        </w:tc>
        <w:tc>
          <w:tcPr>
            <w:tcW w:w="240" w:type="dxa"/>
            <w:vAlign w:val="bottom"/>
          </w:tcPr>
          <w:p>
            <w:pPr>
              <w:spacing w:after="0"/>
              <w:rPr>
                <w:sz w:val="18"/>
                <w:szCs w:val="18"/>
                <w:color w:val="auto"/>
              </w:rPr>
            </w:pPr>
          </w:p>
        </w:tc>
        <w:tc>
          <w:tcPr>
            <w:tcW w:w="10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Class B</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Class A</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Class B</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Paid-In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Treasury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0"/>
                <w:szCs w:val="20"/>
                <w:color w:val="auto"/>
              </w:rPr>
            </w:pPr>
          </w:p>
        </w:tc>
        <w:tc>
          <w:tcPr>
            <w:tcW w:w="10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Loss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30,764,555</w:t>
            </w: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$307,646</w:t>
            </w:r>
          </w:p>
        </w:tc>
        <w:tc>
          <w:tcPr>
            <w:tcW w:w="70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$56,492</w:t>
            </w:r>
          </w:p>
        </w:tc>
        <w:tc>
          <w:tcPr>
            <w:tcW w:w="1120" w:type="dxa"/>
            <w:vAlign w:val="bottom"/>
            <w:tcBorders>
              <w:top w:val="single" w:sz="8" w:color="auto"/>
              <w:right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$335,694,478</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(32,881,822)</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$217,794,917</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(41,226,357)</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$ 479,745,354</w:t>
            </w:r>
          </w:p>
        </w:tc>
        <w:tc>
          <w:tcPr>
            <w:tcW w:w="80" w:type="dxa"/>
            <w:vAlign w:val="bottom"/>
            <w:shd w:val="clear" w:color="auto" w:fill="CCEEFF"/>
          </w:tcPr>
          <w:p>
            <w:pPr>
              <w:spacing w:after="0"/>
              <w:rPr>
                <w:sz w:val="18"/>
                <w:szCs w:val="18"/>
                <w:color w:val="auto"/>
              </w:rPr>
            </w:pPr>
          </w:p>
        </w:tc>
      </w:tr>
      <w:tr>
        <w:trPr>
          <w:trHeight w:val="198"/>
        </w:trPr>
        <w:tc>
          <w:tcPr>
            <w:tcW w:w="2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472,740</w:t>
            </w:r>
          </w:p>
        </w:tc>
        <w:tc>
          <w:tcPr>
            <w:tcW w:w="24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473,123</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522,460</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522,624</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5,955,551</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5,955,551</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(8,888)</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(8,888)</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128,267</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(128,267)</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(1,601,290)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(1,601,290)</w:t>
            </w:r>
          </w:p>
        </w:tc>
      </w:tr>
      <w:tr>
        <w:trPr>
          <w:trHeight w:val="27"/>
        </w:trPr>
        <w:tc>
          <w:tcPr>
            <w:tcW w:w="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30,819,242</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5,649,240</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308,193</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56,492</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336,817,945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(34,483,112)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223,613,313</w:t>
            </w:r>
          </w:p>
        </w:tc>
        <w:tc>
          <w:tcPr>
            <w:tcW w:w="2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9"/>
              </w:rPr>
              <w:t>$ (41,226,357) $ 485,086,474</w:t>
            </w:r>
          </w:p>
        </w:tc>
      </w:tr>
      <w:tr>
        <w:trPr>
          <w:trHeight w:val="198"/>
        </w:trPr>
        <w:tc>
          <w:tcPr>
            <w:tcW w:w="2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112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604,562</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604,996</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278,337</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278,337</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4,152,777</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4,152,777</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(5,670,265)</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(5,670,265)</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72,106</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(72,106)</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(376,452)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(376,452)</w:t>
            </w:r>
          </w:p>
        </w:tc>
      </w:tr>
      <w:tr>
        <w:trPr>
          <w:trHeight w:val="257"/>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30,862,670</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308,627</w:t>
            </w:r>
          </w:p>
        </w:tc>
        <w:tc>
          <w:tcPr>
            <w:tcW w:w="70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56,492</w:t>
            </w:r>
          </w:p>
        </w:tc>
        <w:tc>
          <w:tcPr>
            <w:tcW w:w="1120" w:type="dxa"/>
            <w:vAlign w:val="bottom"/>
            <w:tcBorders>
              <w:top w:val="single" w:sz="8" w:color="auto"/>
              <w:bottom w:val="single" w:sz="8" w:color="auto"/>
              <w:right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337,772,950</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(34,859,564</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222,023,719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(41,226,357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$ 484,075,867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6"/>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20" w:type="dxa"/>
            <w:vAlign w:val="bottom"/>
            <w:gridSpan w:val="8"/>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Additional</w:t>
            </w:r>
          </w:p>
        </w:tc>
        <w:tc>
          <w:tcPr>
            <w:tcW w:w="240" w:type="dxa"/>
            <w:vAlign w:val="bottom"/>
          </w:tcPr>
          <w:p>
            <w:pPr>
              <w:spacing w:after="0"/>
              <w:rPr>
                <w:sz w:val="18"/>
                <w:szCs w:val="18"/>
                <w:color w:val="auto"/>
              </w:rPr>
            </w:pPr>
          </w:p>
        </w:tc>
        <w:tc>
          <w:tcPr>
            <w:tcW w:w="10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Class B</w:t>
            </w: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Class A</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Class B</w:t>
            </w:r>
          </w:p>
        </w:tc>
        <w:tc>
          <w:tcPr>
            <w:tcW w:w="11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Paid-In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Treasury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0"/>
                <w:szCs w:val="20"/>
                <w:color w:val="auto"/>
              </w:rPr>
            </w:pPr>
          </w:p>
        </w:tc>
        <w:tc>
          <w:tcPr>
            <w:tcW w:w="10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Loss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30,120,263</w:t>
            </w: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7"/>
              </w:rPr>
              <w:t>$301,203</w:t>
            </w:r>
          </w:p>
        </w:tc>
        <w:tc>
          <w:tcPr>
            <w:tcW w:w="70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$56,492</w:t>
            </w:r>
          </w:p>
        </w:tc>
        <w:tc>
          <w:tcPr>
            <w:tcW w:w="1120" w:type="dxa"/>
            <w:vAlign w:val="bottom"/>
            <w:tcBorders>
              <w:top w:val="single" w:sz="8" w:color="auto"/>
              <w:right w:val="single" w:sz="8" w:color="CCEEFF"/>
            </w:tcBorders>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$325,601,647</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(41,703,747)</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$240,563,774</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(41,226,357)</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$ 483,593,012</w:t>
            </w:r>
          </w:p>
        </w:tc>
        <w:tc>
          <w:tcPr>
            <w:tcW w:w="80" w:type="dxa"/>
            <w:vAlign w:val="bottom"/>
            <w:shd w:val="clear" w:color="auto" w:fill="CCEEFF"/>
          </w:tcPr>
          <w:p>
            <w:pPr>
              <w:spacing w:after="0"/>
              <w:rPr>
                <w:sz w:val="18"/>
                <w:szCs w:val="18"/>
                <w:color w:val="auto"/>
              </w:rPr>
            </w:pPr>
          </w:p>
        </w:tc>
      </w:tr>
      <w:tr>
        <w:trPr>
          <w:trHeight w:val="198"/>
        </w:trPr>
        <w:tc>
          <w:tcPr>
            <w:tcW w:w="2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440,746</w:t>
            </w:r>
          </w:p>
        </w:tc>
        <w:tc>
          <w:tcPr>
            <w:tcW w:w="24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441,096</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2,218,355</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2,219,786</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5,203,596</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5,203,596</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(7,057)</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(7,057)</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114,724</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(114,724)</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adoption of updated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guidance for credit losses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January 1, 2023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(1,895,902)</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(1,895,902)</w:t>
            </w:r>
          </w:p>
        </w:tc>
      </w:tr>
      <w:tr>
        <w:trPr>
          <w:trHeight w:val="22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4,007,638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4,007,638</w:t>
            </w:r>
          </w:p>
        </w:tc>
      </w:tr>
      <w:tr>
        <w:trPr>
          <w:trHeight w:val="223"/>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30,298,312</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302,984</w:t>
            </w:r>
          </w:p>
        </w:tc>
        <w:tc>
          <w:tcPr>
            <w:tcW w:w="70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56,492</w:t>
            </w:r>
          </w:p>
        </w:tc>
        <w:tc>
          <w:tcPr>
            <w:tcW w:w="1120" w:type="dxa"/>
            <w:vAlign w:val="bottom"/>
            <w:tcBorders>
              <w:top w:val="single" w:sz="8" w:color="auto"/>
              <w:bottom w:val="single" w:sz="8" w:color="auto"/>
              <w:right w:val="single" w:sz="8" w:color="CCEEFF"/>
            </w:tcBorders>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328,375,472</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(37,696,109</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243,749,687</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(41,226,357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$ 493,562,169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98"/>
        </w:trPr>
        <w:tc>
          <w:tcPr>
            <w:tcW w:w="2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44,664</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668,933</w:t>
            </w:r>
          </w:p>
        </w:tc>
        <w:tc>
          <w:tcPr>
            <w:tcW w:w="24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669,380</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1,958</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2,966,842</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2,968,800</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1,997,423</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1,997,423</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(5,498,873)</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(5,498,873)</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61,749</w:t>
            </w:r>
          </w:p>
        </w:tc>
        <w:tc>
          <w:tcPr>
            <w:tcW w:w="2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(61,749)</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(7,505,333)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(7,505,333)</w:t>
            </w:r>
          </w:p>
        </w:tc>
      </w:tr>
      <w:tr>
        <w:trPr>
          <w:trHeight w:val="27"/>
        </w:trPr>
        <w:tc>
          <w:tcPr>
            <w:tcW w:w="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30,538,869</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5,649,240</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305,389</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56,492</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332,072,996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(45,201,442)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240,186,488</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5"/>
              </w:rPr>
              <w:t>$ (41,226,357)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$ 486,193,566</w:t>
            </w:r>
          </w:p>
        </w:tc>
      </w:tr>
      <w:tr>
        <w:trPr>
          <w:trHeight w:val="20"/>
        </w:trPr>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10,108,328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7,201,019</w:t>
            </w: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2,191,794</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1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(2,850,047)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(2,172,823)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21,261,917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1,637,440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54,167,999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46,810,143</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1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(24,221,831)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(21,405,669)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(5,883,078)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(5,732,813)</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714,695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4,710,479</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(17,598,575)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(14,487,216)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(377,731)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(591,925)</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1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(7,912,158)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(11,394,864)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(4,823,656)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3,361,990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609,196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(435,535)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301,761</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1,301,884</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16,389,369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5,854,072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26,497,697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13,055,091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held to maturity</w:t>
            </w:r>
          </w:p>
        </w:tc>
        <w:tc>
          <w:tcPr>
            <w:tcW w:w="1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(23,566,350)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(23,242,218)</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available for sale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(72,190,538)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(99,497,145)</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 available for sale</w:t>
            </w:r>
          </w:p>
        </w:tc>
        <w:tc>
          <w:tcPr>
            <w:tcW w:w="1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(3,679,586)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(3,608,514)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1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12,484,869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25,869,261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52,270,575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25,585,850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fixed maturities: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28,154,556</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equity securities, available for sale</w:t>
            </w:r>
          </w:p>
        </w:tc>
        <w:tc>
          <w:tcPr>
            <w:tcW w:w="1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4,375,411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purchases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(44,703)</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of short-term investments</w:t>
            </w:r>
          </w:p>
        </w:tc>
        <w:tc>
          <w:tcPr>
            <w:tcW w:w="12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15,734,741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34,169,777</w:t>
            </w:r>
          </w:p>
        </w:tc>
      </w:tr>
      <w:tr>
        <w:trPr>
          <w:trHeight w:val="223"/>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(15,950,641</w:t>
            </w:r>
          </w:p>
        </w:tc>
        <w:tc>
          <w:tcPr>
            <w:tcW w:w="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(8,237,725)</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(11,249,145)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(10,802,920)</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1,135,412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5,610,255</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(10,113,733</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(5,192,665)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(375,299)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23,792,273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25,123,332</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24,225,596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24,748,033</w:t>
            </w: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period -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period -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commercial and personal lines of property and casualty coverages exclusively through a network of independent insurance agents in certain Mid-Atlantic, Midwestern, New England, Southern and Southwestern states.</w:t>
      </w:r>
    </w:p>
    <w:p>
      <w:pPr>
        <w:spacing w:after="0" w:line="187" w:lineRule="exact"/>
        <w:rPr>
          <w:sz w:val="20"/>
          <w:szCs w:val="20"/>
          <w:color w:val="auto"/>
        </w:rPr>
      </w:pPr>
    </w:p>
    <w:p>
      <w:pPr>
        <w:ind w:right="160" w:firstLine="486"/>
        <w:spacing w:after="0" w:line="289" w:lineRule="auto"/>
        <w:rPr>
          <w:sz w:val="20"/>
          <w:szCs w:val="20"/>
          <w:color w:val="auto"/>
        </w:rPr>
      </w:pPr>
      <w:r>
        <w:rPr>
          <w:rFonts w:ascii="Times New Roman" w:cs="Times New Roman" w:eastAsia="Times New Roman" w:hAnsi="Times New Roman"/>
          <w:sz w:val="17"/>
          <w:szCs w:val="17"/>
          <w:color w:val="auto"/>
        </w:rPr>
        <w:t>At June 30, 2024,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At June 30, 2024, Donegal Mutual held approximately 43% of our outstanding Class A common stock and approximately 84%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76"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but we do not allocate all of the standard risk gradients to one company.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2 -</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six months ended June 30, 2024 are not necessarily indicative of the results of operations we expect for the year ending December 31, 2024.</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recommend you read the interim financial statements we include in this Form 10-Q Report in conjunction with the financial statements and the notes to our financial statements contained in our Annual Report on Form 10-K for the year ended December 31, 2023 that we filed with the Securities and Exchange Commission (“SEC”) on March 6, 2024.</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3 -</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9"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8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27,845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27,382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tcPr>
          <w:p>
            <w:pPr>
              <w:spacing w:after="0"/>
              <w:rPr>
                <w:sz w:val="18"/>
                <w:szCs w:val="18"/>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27,382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8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A</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2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0" w:type="dxa"/>
            <w:vAlign w:val="bottom"/>
            <w:shd w:val="clear" w:color="auto" w:fill="CCEEFF"/>
          </w:tcPr>
          <w:p>
            <w:pPr>
              <w:spacing w:after="0"/>
              <w:rPr>
                <w:sz w:val="22"/>
                <w:szCs w:val="22"/>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 w:type="dxa"/>
            <w:vAlign w:val="bottom"/>
            <w:shd w:val="clear" w:color="auto" w:fill="CCEEFF"/>
          </w:tcPr>
          <w:p>
            <w:pPr>
              <w:spacing w:after="0"/>
              <w:rPr>
                <w:sz w:val="20"/>
                <w:szCs w:val="20"/>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27,288</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2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27,288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We did not include outstanding options to purchase the following number of shares of Class A common stock in our computation of diluted net income per share because the exercise price of the options exceeded the average market price of our Class A common stock during the applicable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74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8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jc w:val="right"/>
              <w:ind w:right="2550"/>
              <w:spacing w:after="0"/>
              <w:rPr>
                <w:sz w:val="20"/>
                <w:szCs w:val="20"/>
                <w:color w:val="auto"/>
              </w:rPr>
            </w:pPr>
            <w:r>
              <w:rPr>
                <w:rFonts w:ascii="Times New Roman" w:cs="Times New Roman" w:eastAsia="Times New Roman" w:hAnsi="Times New Roman"/>
                <w:sz w:val="18"/>
                <w:szCs w:val="18"/>
                <w:color w:val="auto"/>
                <w:w w:val="99"/>
              </w:rPr>
              <w:t>Number of options to purchase Class A shares excluded</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4,942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1,697</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w:t>
            </w:r>
          </w:p>
        </w:tc>
      </w:tr>
    </w:tbl>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4 -</w:t>
      </w:r>
      <w:r>
        <w:rPr>
          <w:sz w:val="20"/>
          <w:szCs w:val="20"/>
          <w:color w:val="auto"/>
        </w:rPr>
        <w:tab/>
      </w: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2024:</w:t>
      </w:r>
    </w:p>
    <w:p>
      <w:pPr>
        <w:spacing w:after="0" w:line="183" w:lineRule="exact"/>
        <w:rPr>
          <w:sz w:val="20"/>
          <w:szCs w:val="20"/>
          <w:color w:val="auto"/>
        </w:rPr>
      </w:pPr>
    </w:p>
    <w:p>
      <w:pPr>
        <w:ind w:left="980" w:right="120" w:hanging="486"/>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under which Donegal Mutual and our insurance subsidiaries recover losses over a set retention of $3.0 million for all losses other than property and a set retention of $4.0 million for property losses; and</w:t>
      </w:r>
    </w:p>
    <w:p>
      <w:pPr>
        <w:spacing w:after="0" w:line="161" w:lineRule="exact"/>
        <w:rPr>
          <w:rFonts w:ascii="Times New Roman" w:cs="Times New Roman" w:eastAsia="Times New Roman" w:hAnsi="Times New Roman"/>
          <w:sz w:val="18"/>
          <w:szCs w:val="18"/>
          <w:color w:val="auto"/>
        </w:rPr>
      </w:pPr>
    </w:p>
    <w:p>
      <w:pPr>
        <w:ind w:left="980" w:right="340" w:hanging="486"/>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reinsurance, under which Donegal Mutual and our insurance subsidiaries recover 100% of an accumulation of many losses resulting from a single event, including natural disasters, over a set retention of $25.0 million up to aggregate losses of $175.0 million per occurrence.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For property insurance, our insurance subsidiaries have excess of loss reinsurance that provides coverage of $36.0 million per loss over a set retention of $4.0 million. For liability insurance, our insurance subsidiaries have excess of loss reinsurance that provides coverage of $72.0 million per occurrence over a set retention of $3.0 million. For workers’ compensation insurance, our insurance subsidiaries have excess of loss reinsurance that provides coverage of $17.0 million on any one life over a set retention of $3.0 million.</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87"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162"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Atlantic States, MICO and Peninsula are required to be members of the Michigan Catastrophic Claims Association (“MCCA”). The MCCA provides reinsurance to Atlantic States, MICO and Peninsula for personal automobile and commercial automobile personal injury claims in the state of Michigan over a set retention.</w:t>
      </w:r>
    </w:p>
    <w:p>
      <w:pPr>
        <w:spacing w:after="0" w:line="17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0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5 -</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June 30,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20" w:type="dxa"/>
            <w:vAlign w:val="bottom"/>
            <w:gridSpan w:val="2"/>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93,404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93,460</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83,993</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376,833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324,022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208,902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193,183</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6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12,462</w:t>
            </w:r>
          </w:p>
        </w:tc>
        <w:tc>
          <w:tcPr>
            <w:tcW w:w="4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12,048</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690,580</w:t>
            </w:r>
          </w:p>
        </w:tc>
        <w:tc>
          <w:tcPr>
            <w:tcW w:w="200" w:type="dxa"/>
            <w:vAlign w:val="bottom"/>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691,934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94,952</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90,518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37,333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207,842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194,638</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281,679</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647,149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At June 30, 2024, our holdings of obligations of states and political subdivisions included general obligation bonds with an aggregate fair value of $235.3 million and an amortized cost of $274.4 million. Our holdings at June 30, 2024 also included special revenue bonds with an aggregate fair value of $126.1 million and an amortized cost of $144.5 million. With respect to both categories of those bonds at June 30, 2024, we held no securities of any issuer that comprised more than 10% of our holdings of either bond category. Education bonds and water and sewer utility bonds represented 45% and 35%, respectively, of our total investments in special revenue bonds based on the carrying values of these investments at June 30, 2024. Many of the issuers of the special revenue bonds we held at June 30, 2024 have the authority to impose ad valorem taxes. In that respect, many of the special revenue bonds we held are similar to general obligation bonds.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December 31,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00" w:type="dxa"/>
            <w:vAlign w:val="bottom"/>
          </w:tcPr>
          <w:p>
            <w:pPr>
              <w:spacing w:after="0"/>
              <w:rPr>
                <w:sz w:val="21"/>
                <w:szCs w:val="21"/>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91,518</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91,572</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82,687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376,898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331,768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188,249</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w:t>
            </w:r>
          </w:p>
        </w:tc>
        <w:tc>
          <w:tcPr>
            <w:tcW w:w="200" w:type="dxa"/>
            <w:vAlign w:val="bottom"/>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89,367</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85,419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196,793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269,020</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629,727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380" w:type="dxa"/>
            <w:vAlign w:val="bottom"/>
          </w:tcPr>
          <w:p>
            <w:pPr>
              <w:spacing w:after="0"/>
              <w:rPr>
                <w:sz w:val="24"/>
                <w:szCs w:val="24"/>
                <w:color w:val="auto"/>
              </w:rPr>
            </w:pP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At December 31, 2023, our holdings of obligations of states and political subdivisions included general obligation bonds with an aggregate fair value of $245.1 million and an amortized cost of $278.3 million. Our holdings also included special revenue bonds with an aggregate fair value of $124.8 million and an amortized cost of $140.8 million. With respect to both categories of bonds, we held no securities of any issuer that comprised more than 10% of that category at December 31, 2023. Education bonds and water and sewer utility bonds represented 47% and 35%, respectively, of our total investments in special revenue bonds based on their carrying values at December 31, 2023. Many of the issuers of the special revenue bonds we held at December 31, 2023 have the authority to impose ad valorem taxes. In that respect, many of the special revenue bonds we held are similar to general obligation bonds.</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$97,684 and $134,775 in other comprehensive loss during the six months ended June 30, 2024 and 2023, respectively. At June 30, 2024 and December 31, 2023, net unrealized losses of $1.2 million and $1.3 million, respectively, remained within accumulated other comprehensive loss.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385"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We show below the amortized cost and estimated fair value of our fixed maturities at June 30, 2024 by contractual maturity. Expected maturities may differ from contractual maturities because issuers of the securities may have the right to call or prepay obligations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38,451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37,894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130,089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121,597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219,387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268,829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222,320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12,048</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691,934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613,246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57,703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56,838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171,272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161,287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84,403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302,528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281,679</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647,149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604,168</w:t>
            </w:r>
          </w:p>
        </w:tc>
        <w:tc>
          <w:tcPr>
            <w:tcW w:w="0" w:type="dxa"/>
            <w:vAlign w:val="bottom"/>
          </w:tcPr>
          <w:p>
            <w:pPr>
              <w:spacing w:after="0"/>
              <w:rPr>
                <w:sz w:val="1"/>
                <w:szCs w:val="1"/>
                <w:color w:val="auto"/>
              </w:rPr>
            </w:pPr>
          </w:p>
        </w:tc>
      </w:tr>
      <w:tr>
        <w:trPr>
          <w:trHeight w:val="21"/>
        </w:trPr>
        <w:tc>
          <w:tcPr>
            <w:tcW w:w="72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June 30, 2024 were as follows:</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2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22,524</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32,456</w:t>
            </w:r>
          </w:p>
        </w:tc>
        <w:tc>
          <w:tcPr>
            <w:tcW w:w="0" w:type="dxa"/>
            <w:vAlign w:val="bottom"/>
          </w:tcPr>
          <w:p>
            <w:pPr>
              <w:spacing w:after="0"/>
              <w:rPr>
                <w:sz w:val="1"/>
                <w:szCs w:val="1"/>
                <w:color w:val="auto"/>
              </w:rPr>
            </w:pPr>
          </w:p>
        </w:tc>
      </w:tr>
      <w:tr>
        <w:trPr>
          <w:trHeight w:val="432"/>
        </w:trPr>
        <w:tc>
          <w:tcPr>
            <w:tcW w:w="770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2023 were as follows: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18,844</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25,903</w:t>
            </w:r>
          </w:p>
        </w:tc>
        <w:tc>
          <w:tcPr>
            <w:tcW w:w="0" w:type="dxa"/>
            <w:vAlign w:val="bottom"/>
          </w:tcPr>
          <w:p>
            <w:pPr>
              <w:spacing w:after="0"/>
              <w:rPr>
                <w:sz w:val="1"/>
                <w:szCs w:val="1"/>
                <w:color w:val="auto"/>
              </w:rPr>
            </w:pPr>
          </w:p>
        </w:tc>
      </w:tr>
      <w:tr>
        <w:trPr>
          <w:trHeight w:val="571"/>
        </w:trPr>
        <w:tc>
          <w:tcPr>
            <w:tcW w:w="4140" w:type="dxa"/>
            <w:vAlign w:val="bottom"/>
          </w:tcPr>
          <w:p>
            <w:pPr>
              <w:spacing w:after="0"/>
              <w:rPr>
                <w:sz w:val="24"/>
                <w:szCs w:val="24"/>
                <w:color w:val="auto"/>
              </w:rPr>
            </w:pPr>
          </w:p>
        </w:tc>
        <w:tc>
          <w:tcPr>
            <w:tcW w:w="1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80" w:type="dxa"/>
            <w:vAlign w:val="bottom"/>
          </w:tcPr>
          <w:p>
            <w:pPr>
              <w:spacing w:after="0"/>
              <w:rPr>
                <w:sz w:val="20"/>
                <w:szCs w:val="20"/>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8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82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8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8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727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80" w:type="dxa"/>
            <w:vAlign w:val="bottom"/>
          </w:tcPr>
          <w:p>
            <w:pPr>
              <w:spacing w:after="0"/>
              <w:rPr>
                <w:sz w:val="18"/>
                <w:szCs w:val="18"/>
                <w:color w:val="auto"/>
              </w:rPr>
            </w:pP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maturities - credit impairment charges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737</w:t>
            </w:r>
          </w:p>
        </w:tc>
        <w:tc>
          <w:tcPr>
            <w:tcW w:w="260" w:type="dxa"/>
            <w:vAlign w:val="bottom"/>
          </w:tcPr>
          <w:p>
            <w:pPr>
              <w:spacing w:after="0"/>
              <w:rPr>
                <w:sz w:val="18"/>
                <w:szCs w:val="18"/>
                <w:color w:val="auto"/>
              </w:rPr>
            </w:pP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held fixed maturities with unrealized losses at June 30, 2024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40,893</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127,737</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286,569</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57,139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327,109</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28,110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64,748</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207,386</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20,970</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196,802</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2,823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948,801</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held fixed maturities with unrealized losses at December 31, 2023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116,538</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307,429</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353,863</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178,113</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18,291</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105,351</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955,943</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5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916 debt securities that were in an unrealized loss position at June 30, 2024. Based upon our analysis of general market conditions and underlying factors impacting these debt securities, we considered these declines in value to be temporary.</w:t>
      </w:r>
    </w:p>
    <w:p>
      <w:pPr>
        <w:spacing w:after="0" w:line="18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amortize premiums and discounts on mortgage-backed debt securities using anticipated prepayments.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6 -</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personal lines and commercial lines segments based upon the underwriting results of our insurance subsidiaries using statutory accounting principles (“SAP”) that various state insurance departments prescribe or permit. Our management uses SAP to measure the performance of our insurance subsidiaries instead of United States generally accepted accounting principles (“GAAP”). SAP financial measures are considered non-GAAP financial measures under applicable SEC rules because they include or exclude certain items that the most comparable GAAP financial measures do not ordinarily include or exclude.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data by segment for the three and six months ended June 30, 2024 and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5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60" w:type="dxa"/>
            <w:vAlign w:val="bottom"/>
            <w:vMerge w:val="continue"/>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Premiums earned:</w:t>
            </w: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lines</w:t>
            </w:r>
          </w:p>
        </w:tc>
        <w:tc>
          <w:tcPr>
            <w:tcW w:w="48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130,808</w:t>
            </w:r>
          </w:p>
        </w:tc>
        <w:tc>
          <w:tcPr>
            <w:tcW w:w="0" w:type="dxa"/>
            <w:vAlign w:val="bottom"/>
          </w:tcPr>
          <w:p>
            <w:pPr>
              <w:spacing w:after="0"/>
              <w:rPr>
                <w:sz w:val="1"/>
                <w:szCs w:val="1"/>
                <w:color w:val="auto"/>
              </w:rPr>
            </w:pPr>
          </w:p>
        </w:tc>
      </w:tr>
      <w:tr>
        <w:trPr>
          <w:trHeight w:val="223"/>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Personal lines</w:t>
            </w: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85,452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GAAP premiums earned</w:t>
            </w:r>
          </w:p>
        </w:tc>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loss:</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lines</w:t>
            </w:r>
          </w:p>
        </w:tc>
        <w:tc>
          <w:tcPr>
            <w:tcW w:w="48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Personal lines</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(6,424)</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SAP underwriting loss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(11,853)</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adjustments</w:t>
            </w:r>
          </w:p>
        </w:tc>
        <w:tc>
          <w:tcPr>
            <w:tcW w:w="4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GAAP underwriting loss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(6,929)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48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620" w:type="dxa"/>
            <w:vAlign w:val="bottom"/>
            <w:vMerge w:val="restart"/>
          </w:tcPr>
          <w:p>
            <w:pPr>
              <w:jc w:val="right"/>
              <w:ind w:right="2895"/>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0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6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Premiums earned: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263,995</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167,498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premiums earned</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462,060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22,041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loss: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lines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(19,690)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SAP underwriting loss</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(20,627)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GAAP underwriting loss</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(12,473)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(12,829)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12,261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8,550</w:t>
            </w:r>
          </w:p>
        </w:tc>
        <w:tc>
          <w:tcPr>
            <w:tcW w:w="0" w:type="dxa"/>
            <w:vAlign w:val="bottom"/>
          </w:tcPr>
          <w:p>
            <w:pPr>
              <w:spacing w:after="0"/>
              <w:rPr>
                <w:sz w:val="1"/>
                <w:szCs w:val="1"/>
                <w:color w:val="auto"/>
              </w:rPr>
            </w:pPr>
          </w:p>
        </w:tc>
      </w:tr>
      <w:tr>
        <w:trPr>
          <w:trHeight w:val="21"/>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w:t>
            </w:r>
          </w:p>
        </w:tc>
        <w:tc>
          <w:tcPr>
            <w:tcW w:w="8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20" w:type="dxa"/>
            <w:vAlign w:val="bottom"/>
            <w:vMerge w:val="continue"/>
          </w:tcPr>
          <w:p>
            <w:pPr>
              <w:spacing w:after="0"/>
              <w:rPr>
                <w:sz w:val="24"/>
                <w:szCs w:val="24"/>
                <w:color w:val="auto"/>
              </w:rPr>
            </w:pPr>
          </w:p>
        </w:tc>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Lines of Credit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441"/>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agreement with Manufacturers and Traders Trust Company (“M&amp;T”) that related to a $20.0 million unsecured demand line of credit. The line of credit has no expiration date, no annual fees and no covenants. At June 30, 2024, we had no outstanding borrowings from M&amp;T and had the ability to borrow up to $20.0 million at an interest rate equal to the then-current Term SOFR rate plus 2.11%.</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June 30, 2024. The cash advance carries a fixed interest rate of 1.74% and is due in August 2024. The table below presents the amount of FHLB of Pittsburgh stock Atlantic States purchased, collateral pledged and assets related to Atlantic States’ membership in the FHLB of Pittsburgh at June 30,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Pittsburgh stock purchased and owned</w:t>
            </w:r>
          </w:p>
        </w:tc>
        <w:tc>
          <w:tcPr>
            <w:tcW w:w="52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1,605,000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at par (carrying value $39,592,120)</w:t>
            </w:r>
          </w:p>
        </w:tc>
        <w:tc>
          <w:tcPr>
            <w:tcW w:w="5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43,096,513</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5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2,220,037</w:t>
            </w:r>
          </w:p>
        </w:tc>
      </w:tr>
      <w:tr>
        <w:trPr>
          <w:trHeight w:val="571"/>
        </w:trPr>
        <w:tc>
          <w:tcPr>
            <w:tcW w:w="4760" w:type="dxa"/>
            <w:vAlign w:val="bottom"/>
          </w:tcPr>
          <w:p>
            <w:pPr>
              <w:spacing w:after="0"/>
              <w:rPr>
                <w:sz w:val="24"/>
                <w:szCs w:val="24"/>
                <w:color w:val="auto"/>
              </w:rPr>
            </w:pPr>
          </w:p>
        </w:tc>
        <w:tc>
          <w:tcPr>
            <w:tcW w:w="5280" w:type="dxa"/>
            <w:vAlign w:val="bottom"/>
          </w:tcPr>
          <w:p>
            <w:pPr>
              <w:jc w:val="right"/>
              <w:ind w:right="4259"/>
              <w:spacing w:after="0"/>
              <w:rPr>
                <w:sz w:val="20"/>
                <w:szCs w:val="20"/>
                <w:color w:val="auto"/>
              </w:rPr>
            </w:pPr>
            <w:r>
              <w:rPr>
                <w:rFonts w:ascii="Times New Roman" w:cs="Times New Roman" w:eastAsia="Times New Roman" w:hAnsi="Times New Roman"/>
                <w:sz w:val="14"/>
                <w:szCs w:val="14"/>
                <w:color w:val="auto"/>
              </w:rPr>
              <w:t>17</w:t>
            </w:r>
          </w:p>
        </w:tc>
        <w:tc>
          <w:tcPr>
            <w:tcW w:w="1200" w:type="dxa"/>
            <w:vAlign w:val="bottom"/>
          </w:tcPr>
          <w:p>
            <w:pPr>
              <w:spacing w:after="0"/>
              <w:rPr>
                <w:sz w:val="24"/>
                <w:szCs w:val="24"/>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8 -</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83"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We recorded compensation expense related to our stock compensation plans of $278,337 and $249,481 for the three months ended June 30, 2024 and 2023, respectively, with a corresponding income tax benefit of $58,451 and $52,391, respectively. We recorded compensation expense related to our stock compensation plans of $564,338 and $501,254 for the six months ended June 30, 2024 and 2023, respectively, with a corresponding income tax benefit of $118,511 and $105,263, respectively. At June 30, 2024, we had $1.3 million of unrecognized compensation expense related to nonvested share-based compensation granted under our stock compensation plans that we expect to recognize over a weighted average period of approximately 1.7 years.</w:t>
      </w:r>
    </w:p>
    <w:p>
      <w:pPr>
        <w:spacing w:after="0" w:line="183"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did not receive any cash from option exercises under our stock compensation plans during the three months ended June 30, 2024. We received cash from option exercises under our stock compensation plans during the three months ended June 30, 2023 of $2.7 million. We received cash from option exercises under our stock compensation plans during the six months ended June 30, 2024 and 2023 of $236,624 and $4.7 million, respectively. We realized actual tax benefits for the tax deductions related to those option exercises of $0 and $66,955 for the three months ended June 30, 2024 and 2023, respectively. We realized actual tax benefits for the tax deductions related to those option exercises of $1,719 and $113,143 for the six months ended June 30, 2024 and 2023, respectively.</w:t>
      </w:r>
    </w:p>
    <w:p>
      <w:pPr>
        <w:spacing w:after="0" w:line="1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8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June 30, 2024, we received two estimates per security from the pricing services, and we priced substantially all of our Level 1 and Level 2 investments using those prices. In our review of the estimates the pricing services provided at June 30, 2024, we did not identify any material discrepancies, and we did not make any adjustments to the estimates the pricing services provided.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our cash and short-term investments at estimated fair value. We classify these items as Level 1.</w:t>
      </w:r>
    </w:p>
    <w:p>
      <w:pPr>
        <w:spacing w:after="0" w:line="225"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evaluate our assets and liabilities to determine the appropriate level at which to classify them for each reporting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w:t>
            </w:r>
          </w:p>
        </w:tc>
        <w:tc>
          <w:tcPr>
            <w:tcW w:w="14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corporations and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37,333</w:t>
            </w: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37,333</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281,679</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32,456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30,451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636,624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30,451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606,173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w:t>
            </w:r>
          </w:p>
        </w:tc>
        <w:tc>
          <w:tcPr>
            <w:tcW w:w="14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corporations and agencies</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38,116</w:t>
            </w: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38,116</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196,793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269,020</w:t>
            </w: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269,020</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23,911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615,251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23,911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591,340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5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10 -</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At June 30, 2024 and December 31, 2023,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$8.1 million for our net state operating loss carryforward, which will expire between 2024 and 2043. We have determined that we are not required to establish a valuation allowance for our other deferred tax assets of $40.4 million and $38.4 million at June 30, 2024 and December 31, 2023, respectively, because it is more likely than not that we will realize these deferred tax assets through reversals of existing temporary differences, future taxable income and the implementation of tax planning strategies.</w:t>
      </w:r>
    </w:p>
    <w:p>
      <w:pPr>
        <w:spacing w:after="0" w:line="18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11 -</w:t>
      </w:r>
      <w:r>
        <w:rPr>
          <w:sz w:val="20"/>
          <w:szCs w:val="20"/>
          <w:color w:val="auto"/>
        </w:rPr>
        <w:tab/>
      </w:r>
      <w:r>
        <w:rPr>
          <w:rFonts w:ascii="Times New Roman" w:cs="Times New Roman" w:eastAsia="Times New Roman" w:hAnsi="Times New Roman"/>
          <w:sz w:val="17"/>
          <w:szCs w:val="17"/>
          <w:b w:val="1"/>
          <w:bCs w:val="1"/>
          <w:color w:val="auto"/>
        </w:rPr>
        <w:t>Liabilities for Losses and Loss Expenses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liabilities for losses and loss expenses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1,121,046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(437,014)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(451,184)</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 at January 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670,994</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297,801</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(8,460)</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316,257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289,341</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129,999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paid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282,889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710,018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677,446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445,237</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liabilities for losses and loss expenses of prior years of $9.2 million and $8.5 million for the six months ended June 30, 2024 and 2023,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2024 development represented 1.3% of the December 31, 2023 net carried reserves and resulted from lower-than-expected loss emergence or severity primarily in the commercial automobile, commercial multi-peril and personal automobile lines of business. The majority of the 2024 development related to decreases in the liabilities for losses and loss expenses of prior years for Atlantic States and MICO. The 2023 development represented 1.3% of the December 31, 2022 net carried reserves and resulted primarily from lower-than-expected loss emergence or severity primarily in the commercial automobile, workers’ compensation and homeowners lines of business. The majority of the 2023 development related to decreases in the liabilities for losses and loss expenses of prior years for Atlantic States and MICO.</w:t>
      </w:r>
    </w:p>
    <w:p>
      <w:pPr>
        <w:spacing w:after="0" w:line="188"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0"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six months ended June 30, 2024.</w:t>
      </w:r>
    </w:p>
    <w:p>
      <w:pPr>
        <w:spacing w:after="0" w:line="18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8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12 -</w:t>
      </w:r>
      <w:r>
        <w:rPr>
          <w:sz w:val="20"/>
          <w:szCs w:val="20"/>
          <w:color w:val="auto"/>
        </w:rPr>
        <w:tab/>
      </w:r>
      <w:r>
        <w:rPr>
          <w:rFonts w:ascii="Times New Roman" w:cs="Times New Roman" w:eastAsia="Times New Roman" w:hAnsi="Times New Roman"/>
          <w:sz w:val="17"/>
          <w:szCs w:val="17"/>
          <w:b w:val="1"/>
          <w:bCs w:val="1"/>
          <w:color w:val="auto"/>
        </w:rPr>
        <w:t>Allowance for Expected Credit Losses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Fixed-Maturity Securities</w:t>
      </w:r>
    </w:p>
    <w:p>
      <w:pPr>
        <w:spacing w:after="0" w:line="22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June 30, 2024 and 2023 and changes in the allowance for expected credit losses for the three and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June 30, 2024</w:t>
            </w:r>
          </w:p>
        </w:tc>
        <w:tc>
          <w:tcPr>
            <w:tcW w:w="140" w:type="dxa"/>
            <w:vAlign w:val="bottom"/>
          </w:tcPr>
          <w:p>
            <w:pPr>
              <w:spacing w:after="0"/>
              <w:rPr>
                <w:sz w:val="21"/>
                <w:szCs w:val="21"/>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Ended June 30, 2023</w:t>
            </w:r>
          </w:p>
        </w:tc>
      </w:tr>
      <w:tr>
        <w:trPr>
          <w:trHeight w:val="194"/>
        </w:trPr>
        <w:tc>
          <w:tcPr>
            <w:tcW w:w="5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Maturity, Net</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Maturity, Net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Credit</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683,399</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693,779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r>
      <w:tr>
        <w:trPr>
          <w:trHeight w:val="217"/>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685,402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At and For the Six Months</w:t>
            </w:r>
          </w:p>
        </w:tc>
        <w:tc>
          <w:tcPr>
            <w:tcW w:w="140" w:type="dxa"/>
            <w:vAlign w:val="bottom"/>
          </w:tcPr>
          <w:p>
            <w:pPr>
              <w:spacing w:after="0"/>
              <w:rPr>
                <w:sz w:val="24"/>
                <w:szCs w:val="24"/>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At and For the Six Months</w:t>
            </w: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June 30, 2024</w:t>
            </w:r>
          </w:p>
        </w:tc>
        <w:tc>
          <w:tcPr>
            <w:tcW w:w="140" w:type="dxa"/>
            <w:vAlign w:val="bottom"/>
          </w:tcPr>
          <w:p>
            <w:pPr>
              <w:spacing w:after="0"/>
              <w:rPr>
                <w:sz w:val="21"/>
                <w:szCs w:val="21"/>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Ended June 30, 2023</w:t>
            </w:r>
          </w:p>
        </w:tc>
      </w:tr>
      <w:tr>
        <w:trPr>
          <w:trHeight w:val="194"/>
        </w:trPr>
        <w:tc>
          <w:tcPr>
            <w:tcW w:w="5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Maturity, Net</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Maturity, Net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Credit</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688,439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690,580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685,402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June 30, 2024 and 2023, and the changes in the allowance for expected credit losses for the three and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c>
          <w:tcPr>
            <w:tcW w:w="100" w:type="dxa"/>
            <w:vAlign w:val="bottom"/>
          </w:tcPr>
          <w:p>
            <w:pPr>
              <w:spacing w:after="0"/>
              <w:rPr>
                <w:sz w:val="18"/>
                <w:szCs w:val="18"/>
                <w:color w:val="auto"/>
              </w:rPr>
            </w:pPr>
          </w:p>
        </w:tc>
        <w:tc>
          <w:tcPr>
            <w:tcW w:w="2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r>
      <w:tr>
        <w:trPr>
          <w:trHeight w:val="245"/>
        </w:trPr>
        <w:tc>
          <w:tcPr>
            <w:tcW w:w="5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 June 30, 2024</w:t>
            </w:r>
          </w:p>
        </w:tc>
        <w:tc>
          <w:tcPr>
            <w:tcW w:w="100" w:type="dxa"/>
            <w:vAlign w:val="bottom"/>
          </w:tcPr>
          <w:p>
            <w:pPr>
              <w:spacing w:after="0"/>
              <w:rPr>
                <w:sz w:val="21"/>
                <w:szCs w:val="21"/>
                <w:color w:val="auto"/>
              </w:rPr>
            </w:pPr>
          </w:p>
        </w:tc>
        <w:tc>
          <w:tcPr>
            <w:tcW w:w="2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Ended June 30, 2023</w:t>
            </w:r>
          </w:p>
        </w:tc>
      </w:tr>
      <w:tr>
        <w:trPr>
          <w:trHeight w:val="194"/>
        </w:trPr>
        <w:tc>
          <w:tcPr>
            <w:tcW w:w="5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Receivable, Net</w:t>
            </w:r>
          </w:p>
        </w:tc>
        <w:tc>
          <w:tcPr>
            <w:tcW w:w="120" w:type="dxa"/>
            <w:vAlign w:val="bottom"/>
          </w:tcPr>
          <w:p>
            <w:pPr>
              <w:spacing w:after="0"/>
              <w:rPr>
                <w:sz w:val="18"/>
                <w:szCs w:val="18"/>
                <w:color w:val="auto"/>
              </w:rPr>
            </w:pP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Receivable, Net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of Allowance</w:t>
            </w:r>
          </w:p>
        </w:tc>
        <w:tc>
          <w:tcPr>
            <w:tcW w:w="13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590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460,681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5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440,858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450,680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At and For the Six Months</w:t>
            </w:r>
          </w:p>
        </w:tc>
        <w:tc>
          <w:tcPr>
            <w:tcW w:w="100" w:type="dxa"/>
            <w:vAlign w:val="bottom"/>
          </w:tcPr>
          <w:p>
            <w:pPr>
              <w:spacing w:after="0"/>
              <w:rPr>
                <w:sz w:val="24"/>
                <w:szCs w:val="24"/>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At and For the Six Months</w:t>
            </w:r>
          </w:p>
        </w:tc>
      </w:tr>
      <w:tr>
        <w:trPr>
          <w:trHeight w:val="245"/>
        </w:trPr>
        <w:tc>
          <w:tcPr>
            <w:tcW w:w="5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 June 30, 2024</w:t>
            </w:r>
          </w:p>
        </w:tc>
        <w:tc>
          <w:tcPr>
            <w:tcW w:w="100" w:type="dxa"/>
            <w:vAlign w:val="bottom"/>
          </w:tcPr>
          <w:p>
            <w:pPr>
              <w:spacing w:after="0"/>
              <w:rPr>
                <w:sz w:val="21"/>
                <w:szCs w:val="21"/>
                <w:color w:val="auto"/>
              </w:rPr>
            </w:pPr>
          </w:p>
        </w:tc>
        <w:tc>
          <w:tcPr>
            <w:tcW w:w="2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Ended June 30, 2023</w:t>
            </w:r>
          </w:p>
        </w:tc>
      </w:tr>
      <w:tr>
        <w:trPr>
          <w:trHeight w:val="194"/>
        </w:trPr>
        <w:tc>
          <w:tcPr>
            <w:tcW w:w="5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 Net</w:t>
            </w:r>
          </w:p>
        </w:tc>
        <w:tc>
          <w:tcPr>
            <w:tcW w:w="120" w:type="dxa"/>
            <w:vAlign w:val="bottom"/>
          </w:tcPr>
          <w:p>
            <w:pPr>
              <w:spacing w:after="0"/>
              <w:rPr>
                <w:sz w:val="18"/>
                <w:szCs w:val="18"/>
                <w:color w:val="auto"/>
              </w:rPr>
            </w:pP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Receivable, Net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of Allowance</w:t>
            </w:r>
          </w:p>
        </w:tc>
        <w:tc>
          <w:tcPr>
            <w:tcW w:w="13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590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441,431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456,522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7"/>
        </w:trPr>
        <w:tc>
          <w:tcPr>
            <w:tcW w:w="59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450,680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w:t>
            </w: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13 -</w:t>
      </w:r>
      <w:r>
        <w:rPr>
          <w:sz w:val="20"/>
          <w:szCs w:val="20"/>
          <w:color w:val="auto"/>
        </w:rPr>
        <w:tab/>
      </w:r>
      <w:r>
        <w:rPr>
          <w:rFonts w:ascii="Times New Roman" w:cs="Times New Roman" w:eastAsia="Times New Roman" w:hAnsi="Times New Roman"/>
          <w:sz w:val="17"/>
          <w:szCs w:val="17"/>
          <w:b w:val="1"/>
          <w:bCs w:val="1"/>
          <w:color w:val="auto"/>
        </w:rPr>
        <w:t>Impact of New Accounting Standards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 September 2016,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our financial statements on a consolidated basis in accordance with United States generally accepted accounting principles (“GAAP”).</w:t>
      </w:r>
    </w:p>
    <w:p>
      <w:pPr>
        <w:spacing w:after="0" w:line="16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of these liabilities may differ from the estimates we provided. We regularly review our methods for making these estimates and we reflect any adjustment we consider necessary in our current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Losses and Loss Expenses</w:t>
      </w:r>
    </w:p>
    <w:p>
      <w:pPr>
        <w:spacing w:after="0" w:line="22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59"/>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used automobile values, lengthening of repair completion times, increases in the cost of replacement automobile parts and rising labor rates. These trend changes give rise to greater uncertainty as to the pattern of future loss settlements. Related uncertainties regarding future trends include social inflation, availability and cost of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June 30, 2024. At June 30, 2024, for every 1% change in our insurance subsidiaries’ loss and loss expense reserves, net of reinsurance recoverable, the effect on our pre-tax results of operations would be approximately $7.1 million.</w:t>
      </w:r>
    </w:p>
    <w:p>
      <w:pPr>
        <w:spacing w:after="0" w:line="193"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9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rising inflation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92"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pool with Donegal Mutual exposes Atlantic States to adverse loss development on the business of Donegal Mutual that the pool includes. However, pooled business represents the predominant percentage of the net underwriting activity of both companies, and Donegal Mutual and Atlantic States share proportionately any adverse loss development relating to the pooled business. The business in the pool is homogeneous and each company has a pro-rata share of the entire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Our insurance subsidiaries’ liabilities for losses and loss expenses by major line of business at June 30, 2024 and December 31, 2023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217,292</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30,237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27,167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554,505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112,448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28,580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28,001</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14,485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153,462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437,014</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for losses and loss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Change in Loss</w:t>
            </w:r>
          </w:p>
        </w:tc>
        <w:tc>
          <w:tcPr>
            <w:tcW w:w="18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 Reserves Net of</w:t>
            </w:r>
          </w:p>
        </w:tc>
        <w:tc>
          <w:tcPr>
            <w:tcW w:w="1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c>
          <w:tcPr>
            <w:tcW w:w="18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 Reserves Net of</w:t>
            </w:r>
          </w:p>
        </w:tc>
        <w:tc>
          <w:tcPr>
            <w:tcW w:w="1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c>
          <w:tcPr>
            <w:tcW w:w="100" w:type="dxa"/>
            <w:vAlign w:val="bottom"/>
          </w:tcPr>
          <w:p>
            <w:pPr>
              <w:spacing w:after="0"/>
              <w:rPr>
                <w:sz w:val="18"/>
                <w:szCs w:val="18"/>
                <w:color w:val="auto"/>
              </w:rPr>
            </w:pPr>
          </w:p>
        </w:tc>
      </w:tr>
      <w:tr>
        <w:trPr>
          <w:trHeight w:val="216"/>
        </w:trPr>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Loss Expense Reserves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Reinsurance at</w:t>
            </w:r>
          </w:p>
        </w:tc>
        <w:tc>
          <w:tcPr>
            <w:tcW w:w="1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Reinsurance at</w:t>
            </w:r>
          </w:p>
        </w:tc>
        <w:tc>
          <w:tcPr>
            <w:tcW w:w="1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Stockholders’ Equity at</w:t>
            </w:r>
          </w:p>
        </w:tc>
        <w:tc>
          <w:tcPr>
            <w:tcW w:w="100" w:type="dxa"/>
            <w:vAlign w:val="bottom"/>
          </w:tcPr>
          <w:p>
            <w:pPr>
              <w:spacing w:after="0"/>
              <w:rPr>
                <w:sz w:val="18"/>
                <w:szCs w:val="18"/>
                <w:color w:val="auto"/>
              </w:rPr>
            </w:pPr>
          </w:p>
        </w:tc>
      </w:tr>
      <w:tr>
        <w:trPr>
          <w:trHeight w:val="245"/>
        </w:trPr>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Net of Reinsurance</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2023(1)</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639,016</w:t>
            </w:r>
          </w:p>
        </w:tc>
        <w:tc>
          <w:tcPr>
            <w:tcW w:w="2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11.6%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620,229</w:t>
            </w:r>
          </w:p>
        </w:tc>
        <w:tc>
          <w:tcPr>
            <w:tcW w:w="22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11.3%</w:t>
            </w:r>
          </w:p>
        </w:tc>
        <w:tc>
          <w:tcPr>
            <w:tcW w:w="100" w:type="dxa"/>
            <w:vAlign w:val="bottom"/>
            <w:shd w:val="clear" w:color="auto" w:fill="CCEEFF"/>
          </w:tcPr>
          <w:p>
            <w:pPr>
              <w:spacing w:after="0"/>
              <w:rPr>
                <w:sz w:val="18"/>
                <w:szCs w:val="18"/>
                <w:color w:val="auto"/>
              </w:rPr>
            </w:pPr>
          </w:p>
        </w:tc>
      </w:tr>
      <w:tr>
        <w:trPr>
          <w:trHeight w:val="216"/>
        </w:trPr>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656,767</w:t>
            </w:r>
          </w:p>
        </w:tc>
        <w:tc>
          <w:tcPr>
            <w:tcW w:w="2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637,457</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674,517</w:t>
            </w:r>
          </w:p>
        </w:tc>
        <w:tc>
          <w:tcPr>
            <w:tcW w:w="2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654,686</w:t>
            </w:r>
          </w:p>
        </w:tc>
        <w:tc>
          <w:tcPr>
            <w:tcW w:w="22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5.7</w:t>
            </w:r>
          </w:p>
        </w:tc>
        <w:tc>
          <w:tcPr>
            <w:tcW w:w="100" w:type="dxa"/>
            <w:vAlign w:val="bottom"/>
            <w:shd w:val="clear" w:color="auto" w:fill="CCEEFF"/>
          </w:tcPr>
          <w:p>
            <w:pPr>
              <w:spacing w:after="0"/>
              <w:rPr>
                <w:sz w:val="18"/>
                <w:szCs w:val="18"/>
                <w:color w:val="auto"/>
              </w:rPr>
            </w:pPr>
          </w:p>
        </w:tc>
      </w:tr>
      <w:tr>
        <w:trPr>
          <w:trHeight w:val="216"/>
        </w:trPr>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692,268</w:t>
            </w:r>
          </w:p>
        </w:tc>
        <w:tc>
          <w:tcPr>
            <w:tcW w:w="2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671,914</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Base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710,018</w:t>
            </w:r>
          </w:p>
        </w:tc>
        <w:tc>
          <w:tcPr>
            <w:tcW w:w="180" w:type="dxa"/>
            <w:vAlign w:val="bottom"/>
            <w:shd w:val="clear" w:color="auto" w:fill="CCEEFF"/>
          </w:tcPr>
          <w:p>
            <w:pPr>
              <w:spacing w:after="0"/>
              <w:rPr>
                <w:sz w:val="18"/>
                <w:szCs w:val="18"/>
                <w:color w:val="auto"/>
              </w:rPr>
            </w:pPr>
          </w:p>
        </w:tc>
        <w:tc>
          <w:tcPr>
            <w:tcW w:w="2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689,143</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727,768</w:t>
            </w:r>
          </w:p>
        </w:tc>
        <w:tc>
          <w:tcPr>
            <w:tcW w:w="2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706,372</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745,519</w:t>
            </w:r>
          </w:p>
        </w:tc>
        <w:tc>
          <w:tcPr>
            <w:tcW w:w="2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723,600</w:t>
            </w:r>
          </w:p>
        </w:tc>
        <w:tc>
          <w:tcPr>
            <w:tcW w:w="22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(5.7)</w:t>
            </w:r>
          </w:p>
        </w:tc>
        <w:tc>
          <w:tcPr>
            <w:tcW w:w="100" w:type="dxa"/>
            <w:vAlign w:val="bottom"/>
            <w:shd w:val="clear" w:color="auto" w:fill="CCEEFF"/>
          </w:tcPr>
          <w:p>
            <w:pPr>
              <w:spacing w:after="0"/>
              <w:rPr>
                <w:sz w:val="18"/>
                <w:szCs w:val="18"/>
                <w:color w:val="auto"/>
              </w:rPr>
            </w:pPr>
          </w:p>
        </w:tc>
      </w:tr>
      <w:tr>
        <w:trPr>
          <w:trHeight w:val="216"/>
        </w:trPr>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763,269</w:t>
            </w:r>
          </w:p>
        </w:tc>
        <w:tc>
          <w:tcPr>
            <w:tcW w:w="2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740,829</w:t>
            </w:r>
          </w:p>
        </w:tc>
        <w:tc>
          <w:tcPr>
            <w:tcW w:w="2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(8.5)</w:t>
            </w:r>
          </w:p>
        </w:tc>
        <w:tc>
          <w:tcPr>
            <w:tcW w:w="10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781,020</w:t>
            </w:r>
          </w:p>
        </w:tc>
        <w:tc>
          <w:tcPr>
            <w:tcW w:w="2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758,057</w:t>
            </w:r>
          </w:p>
        </w:tc>
        <w:tc>
          <w:tcPr>
            <w:tcW w:w="22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(11.3)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right="8960" w:firstLine="8"/>
        <w:spacing w:after="0" w:line="500" w:lineRule="auto"/>
        <w:tabs>
          <w:tab w:leader="none" w:pos="4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effect. Non-GAAP Information</w:t>
      </w:r>
    </w:p>
    <w:p>
      <w:pPr>
        <w:spacing w:after="0" w:line="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83"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net premiums earned to our net premiums written for the three and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234,311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216,260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462,060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431,493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12,878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32,323</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700" w:hanging="32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7" w:lineRule="exact"/>
        <w:rPr>
          <w:rFonts w:ascii="Times New Roman" w:cs="Times New Roman" w:eastAsia="Times New Roman" w:hAnsi="Times New Roman"/>
          <w:sz w:val="18"/>
          <w:szCs w:val="18"/>
          <w:color w:val="auto"/>
        </w:rPr>
      </w:pPr>
    </w:p>
    <w:p>
      <w:pPr>
        <w:ind w:left="700" w:right="700" w:hanging="328"/>
        <w:spacing w:after="0" w:line="25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ind w:left="700" w:hanging="32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0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Ratios</w:t>
      </w:r>
    </w:p>
    <w:p>
      <w:pPr>
        <w:spacing w:after="0" w:line="22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three and six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7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2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2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13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4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r>
      <w:tr>
        <w:trPr>
          <w:trHeight w:val="21"/>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r>
      <w:tr>
        <w:trPr>
          <w:trHeight w:val="234"/>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r>
      <w:tr>
        <w:trPr>
          <w:trHeight w:val="552"/>
        </w:trPr>
        <w:tc>
          <w:tcPr>
            <w:tcW w:w="4480" w:type="dxa"/>
            <w:vAlign w:val="bottom"/>
          </w:tcPr>
          <w:p>
            <w:pPr>
              <w:spacing w:after="0"/>
              <w:rPr>
                <w:sz w:val="24"/>
                <w:szCs w:val="24"/>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2024 Compared to Three Months Ended June 30, 2023</w:t>
      </w:r>
    </w:p>
    <w:p>
      <w:pPr>
        <w:spacing w:after="0" w:line="227" w:lineRule="exact"/>
        <w:rPr>
          <w:sz w:val="20"/>
          <w:szCs w:val="20"/>
          <w:color w:val="auto"/>
        </w:rPr>
      </w:pPr>
    </w:p>
    <w:p>
      <w:pPr>
        <w:ind w:right="120" w:firstLine="44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Net Premiums Earned. </w:t>
      </w:r>
      <w:r>
        <w:rPr>
          <w:rFonts w:ascii="Times New Roman" w:cs="Times New Roman" w:eastAsia="Times New Roman" w:hAnsi="Times New Roman"/>
          <w:sz w:val="17"/>
          <w:szCs w:val="17"/>
          <w:color w:val="auto"/>
        </w:rPr>
        <w:t>Our insurance subsidiaries’ net premiums earned for the second quarter of 2024 were $234.3 million, an increase of $18.0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or 8.3%, compared to $216.3 million for the second quarter of 2023, primarily reflecting solid premium retention and renewal premium increases.</w:t>
      </w:r>
    </w:p>
    <w:p>
      <w:pPr>
        <w:spacing w:after="0" w:line="135"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second quarter of 2024 were $247.2 million, an increase of $20.7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9.1%, from the $226.5 million of net premiums written for the second quarter of 2023. Commercial lines net premiums written increased $9.4 million, or 7.1%, for the second quarter of 2024 compared to the second quarter of 2023. Personal lines net premiums written increased $11.3 million, or 12.1%, for the second quarter of 2024 compared to the second quarter of 2023. We attribute the increase in commercial lines net premiums written primarily to higher new business writings and a continuation of renewal premium increases in lines other than workers’ compensation, offset partially by planned attrition in states we are exiting or have targeted for profit improvement. We attribute the increase in personal lines net premiums written primarily to renewal premium increases and strong policy retention.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$11.1 million for the second quarter of 2024, an increase of $911,040, or 9.0%, compared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million for the second quarter of 2023. We attribute the increase primarily to an increase in the average investment yield relative to the second quarter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2023.</w:t>
      </w:r>
    </w:p>
    <w:p>
      <w:pPr>
        <w:spacing w:after="0" w:line="205"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Investment Gains. </w:t>
      </w:r>
      <w:r>
        <w:rPr>
          <w:rFonts w:ascii="Times New Roman" w:cs="Times New Roman" w:eastAsia="Times New Roman" w:hAnsi="Times New Roman"/>
          <w:sz w:val="18"/>
          <w:szCs w:val="18"/>
          <w:color w:val="auto"/>
        </w:rPr>
        <w:t>Net investment gains for the second quarter of 2024 were $736,669, compared to $2.5 million for the second quarter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investment gains for the second quarter of 2024 and 2023 resulted primarily from the net change in unrealized gains and losses within our equity securities portfolio at June 30, 2024 and 2023, respectively. We did not recognize any impairment losses for individual securities in our investment portfolio during the second quarter of 2024 or 2023.</w:t>
      </w:r>
    </w:p>
    <w:p>
      <w:pPr>
        <w:spacing w:after="0" w:line="18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70.6% for the second quarter of 2024, an increase from our insurance subsidiaries’ loss ratio of 69.9% for the second quarter of 2023. We attribute this increase primarily to increased weather-related losses, offset partially by decreased large fire losses, which we define as individual fire losses in excess of $50,000. The core loss ratio, which excludes weather-related losses, large fire losses and net favorable development of reserves for losses incurred in prior accident years, was 55.0% for the second quarter of 2024 and 2023. For the commercial lines segment, the core loss ratio of 54.8% for the second quarter of 2024 increased modestly from 54.0% for the second quarter of 2023. For the personal lines segment, the core loss ratio of 55.3% for the second quarter of 2024 decreased from 56.5% for the second quarter of 2023. Weather-related losses were $24.7 million, or 10.6 percentage points of the loss ratio, for the second quarter of 2024, compared to $19.7 million, or 9.1 percentage points of the loss ratio, for the second quarter of 2023. The impact of weather-related loss activity to the loss ratio for the second quarter of 2024 was higher than our previous five-year average of 8.8 percentage points for second quarter weather-related losses. Large fire losses for the second quarter of 2024 were $12.5 million, or 5.3 percentage points of the loss ratio, compared to $12.7 million, or 5.9 percentage points of the loss ratio, for the second quarter of 2023. On a statutory basis, our insurance subsidiaries’ commercial lines loss ratio was 70.9% for the second quarter of 2024, compared to 67.9% for the second quarter of 2023, primarily due to an increase in the workers’ compensation loss ratio. The personal lines statutory loss ratio of our insurance subsidiaries decreased to 71.3% for the second quarter of 2024, compared to 73.4% for the second quarter of 2023. We attribute this decrease primarily to a decrease in the personal automobile loss ratio. Our insurance subsidiaries experienced favorable loss reserve development for the second quarter of 2024 of $757,866 that decreased the loss ratio by 0.3 percentage points, compared to negligible favorable loss reserve development for the second quarter of 2023. Our insurance subsidiaries experienced favorable development primarily in the commercial automobile and personal automobile lines of business for the second quarter of 2024, offset partially by unfavorable development in the workers’ compensation line of business that we attribute to higher-than-expected severity for a relatively small number of previously reported claims.</w:t>
      </w:r>
    </w:p>
    <w:p>
      <w:pPr>
        <w:spacing w:after="0" w:line="19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31.9% for the second quarter of 2024, compared to 34.2% for the second quarter of 2023. The decrease in the expense ratio primarily reflected impacts of expense reduction initiatives, including agency incentive program revisions, commission schedule adjustments, targeted staffing reductions, and deferred replacement of open employment positions, among others, offset partially by higher technology costs related to our ongoing systems modernization initiatives for the second quarter of 2024 compared to the prior-year quarter. We expect the impact from allocated costs from Donegal Mutual to our insurance subsidiaries related to the ongoing systems modernization project will peak at approximately 1.3 percentage points of the expense ratio for the full year of 2024 before beginning to subside gradually in subsequent years.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103.0% and 104.7% for the second quarter of 2024 and 2023, respectively. We attribute the decrease in the combined ratio primarily to a decrease in the expense ratio for the second quarter of 2024 compared to the second quarter of 2023.</w:t>
      </w:r>
    </w:p>
    <w:p>
      <w:pPr>
        <w:spacing w:after="0" w:line="180" w:lineRule="exact"/>
        <w:rPr>
          <w:sz w:val="20"/>
          <w:szCs w:val="20"/>
          <w:color w:val="auto"/>
        </w:rPr>
      </w:pPr>
    </w:p>
    <w:p>
      <w:pPr>
        <w:ind w:right="2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$859,665 for the second quarter of 2024, representing an effective tax rate of 17.2%.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$256,055 for the second quarter of 2023, representing an effective tax rate of 11.4%. The income tax expense for the second quarter of 2024 and 2023 represented estimates based on our projected annual taxable income and effective tax rates.</w:t>
      </w:r>
    </w:p>
    <w:p>
      <w:pPr>
        <w:spacing w:after="0" w:line="17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second quarter of 2024 was $4.2 million, or $.13 per share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diluted basis and $.11 per share of Class B common stock, compared to $2.0 million, or $.06 per share of Class A common stock on a diluted basis and $.05 per share of Class B common stock, for the second quarter of 2023. We had 27.9 million and 27.5 million Class A shares outstanding at June 30, 2024 and 2023, respectively. We had 5.6 million Class B shares outstanding at the end of both periods.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2024 Compared to Six Months Ended June 30, 2023</w:t>
      </w:r>
    </w:p>
    <w:p>
      <w:pPr>
        <w:spacing w:after="0" w:line="227" w:lineRule="exact"/>
        <w:rPr>
          <w:sz w:val="20"/>
          <w:szCs w:val="20"/>
          <w:color w:val="auto"/>
        </w:rPr>
      </w:pPr>
    </w:p>
    <w:p>
      <w:pPr>
        <w:ind w:right="1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first half of 2024 were $462.1 million, an increase of $30.6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7.1%, compared to $431.5 million for the first half of 2023, primarily reflecting solid premium retention and renewal premium increases.</w:t>
      </w:r>
    </w:p>
    <w:p>
      <w:pPr>
        <w:spacing w:after="0" w:line="158" w:lineRule="exact"/>
        <w:rPr>
          <w:sz w:val="20"/>
          <w:szCs w:val="20"/>
          <w:color w:val="auto"/>
        </w:rPr>
      </w:pPr>
    </w:p>
    <w:p>
      <w:pPr>
        <w:ind w:right="120" w:firstLine="44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Net Premiums Written. </w:t>
      </w:r>
      <w:r>
        <w:rPr>
          <w:rFonts w:ascii="Times New Roman" w:cs="Times New Roman" w:eastAsia="Times New Roman" w:hAnsi="Times New Roman"/>
          <w:sz w:val="17"/>
          <w:szCs w:val="17"/>
          <w:color w:val="auto"/>
        </w:rPr>
        <w:t>Our insurance subsidiaries’ net premiums written for the first half of 2024 were $498.6 million, an increase of $34.8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7.5%, from the $463.8 million of net premiums written for the first half of 2023. Commercial lines net premiums written increased $8.5 million, or</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3.0%, for the first half of 2024 compared to the first half of 2023. Personal lines net premiums written increased $26.3 million, or 15.1%, for the first half of 2024 compared to the first half of 2023. We attribute the increase in commercial lines net premiums written primarily to higher new business writings and a continuation of renewal premium increases in lines other than workers’ compensation, offset partially by planned attrition in states we are exiting or have targeted for profit improvement. We attribute the increase in personal lines net premiums written primarily to renewal premium increases and strong policy retention.</w:t>
      </w:r>
    </w:p>
    <w:p>
      <w:pPr>
        <w:spacing w:after="0" w:line="185" w:lineRule="exact"/>
        <w:rPr>
          <w:sz w:val="20"/>
          <w:szCs w:val="20"/>
          <w:color w:val="auto"/>
        </w:rPr>
      </w:pPr>
    </w:p>
    <w:p>
      <w:pPr>
        <w:ind w:right="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$22.0 million for the first half of 2024, an increase of $2.4 million, or 12.4%, compared to $19.6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first half of 2023. We attribute the increase primarily to an increase in the average investment yield relative to the first half of 2023.</w:t>
      </w:r>
    </w:p>
    <w:p>
      <w:pPr>
        <w:spacing w:after="0" w:line="158"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Investment Gains. </w:t>
      </w:r>
      <w:r>
        <w:rPr>
          <w:rFonts w:ascii="Times New Roman" w:cs="Times New Roman" w:eastAsia="Times New Roman" w:hAnsi="Times New Roman"/>
          <w:sz w:val="18"/>
          <w:szCs w:val="18"/>
          <w:color w:val="auto"/>
        </w:rPr>
        <w:t>Net investment gains for the first half of 2024 were $2.9 million, compared to $2.2 million for the first half of 2023.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gains for the first half of 2024 and 2023 resulted primarily from the net change in unrealized gains and losses within our equity securities portfolio at June 30, 2024 and 2023, respectively. We did not recognize any impairment losses for individual securities in our investment portfolio during the first half of 2024 or 2023.</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68.4% for the first half of 2024, an increase from our insurance subsidiaries’ loss ratio of 67.1% for the first half of 2023. We attribute this increase primarily to increased core losses and large fire losses, which we define as individual fire losses in excess of $50,000. The core loss ratio, which excludes weather-related losses, large fire losses and net favorable development of reserves for losses incurred in prior accident years, was 56.8% for the first half of 2024, compared to 55.8% for the first half of 2023. For the commercial lines segment, the core loss ratio of 56.9% for the first half of 2024 increased modestly from 56.1% for the first half of 2023. For the personal lines segment, the core loss ratio of 56.6% for the first half of 2024 increased from 55.1% for the first half of 2023. Weather-related losses were $35.5 million, or 7.7 percentage points of the loss ratio, for the first half of 2024, compared to $33.8 million, or 7.8 percentage points of the loss ratio, for the first half of 2023. The impact of weather-related loss activity to the loss ratio for the first half of 2024 was higher than our previous five-year average of 6.7 percentage points for first half weather-related losses. Large fire losses for the first half of 2024 were $27.4 million, or 5.9 percentage points of the loss ratio, compared to $23.6 million, or 5.5 percentage points of the loss ratio, for the first half of 2023. On a statutory basis, our insurance subsidiaries’ commercial lines loss ratio was 68.5% for the first half of 2024, compared to 65.5% for the first half of 2023, primarily due to an increase in the workers’ compensation loss ratio. The personal lines statutory loss ratio of our insurance subsidiaries decreased slightly to 69.9% for the first half of 2024, compared to 70.0% for the first half of 2023. We attribute this decrease primarily to a decrease in the personal automobile loss ratio, offset partially by an increase in the homeowners loss ratio. Our insurance subsidiaries experienced favorable loss reserve development for the first half of 2024 of approximately $9.2 million that decreased the loss ratio by 2.0 percentage points, compared to $8.5 million that decreased the loss ratio for the first half of 2023 by 2.0 percentage points. Our insurance subsidiaries experienced favorable development primarily in the commercial automobile, commercial multi-peril and personal automobile lines of business for the first half of 2024, offset partially by unfavorable development in the workers’ compensation line of business that we attribute to higher-than-expected severity for a relatively small number of previously reported claims.</w:t>
      </w:r>
    </w:p>
    <w:p>
      <w:pPr>
        <w:spacing w:after="0" w:line="19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33.8% for the first half of 2024, compared to 35.3% for the first half of 2023. The decrease in the expense ratio primarily reflected impacts of expense reduction initiatives, including agency incentive program revisions, commission schedule adjustments, targeted staffing reductions, and deferred replacement of open employment positions, among others, offset partially by higher technology costs related to our ongoing systems modernization initiatives for the first half of 2024 compared to the prior-year quarter. We expect the impact from allocated costs from Donegal Mutual to our insurance subsidiaries related to the ongoing systems modernization project will peak at approximately 1.3 percentage points of the expense ratio for the full year of 2024 before beginning to subside gradually in subsequent years.</w:t>
      </w:r>
    </w:p>
    <w:p>
      <w:pPr>
        <w:spacing w:after="0" w:line="183"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102.7% and 103.0% for the first half of 2024 and 2023, respectively. We attribute the decrease in the combined ratio primarily to a decrease in the expense ratio for the first half of 2024 compared to the first half of 2023.</w:t>
      </w:r>
    </w:p>
    <w:p>
      <w:pPr>
        <w:spacing w:after="0" w:line="180" w:lineRule="exact"/>
        <w:rPr>
          <w:sz w:val="20"/>
          <w:szCs w:val="20"/>
          <w:color w:val="auto"/>
        </w:rPr>
      </w:pPr>
    </w:p>
    <w:p>
      <w:pPr>
        <w:ind w:right="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$2.2 million for the first half of 2024, representing an effective tax rate of 17.6%.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$1.3 million for the first half of 2023, representing an effective tax rate of 15.8%. The income tax expense for the first half of 2024 and 2023 represented estimates based on our projected annual taxable income and effective tax rates.</w:t>
      </w:r>
    </w:p>
    <w:p>
      <w:pPr>
        <w:spacing w:after="0" w:line="17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first half of 2024 was $10.1 million, or $.31 per share of Class A common stock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basis and $.28 per share of Class B common stock, compared to $7.2 million, or $.22 per share of Class A common stock on a diluted basis and $.20 per share of Class B common stock, for the first half of 2023. We had 27.9 million and 27.5 million Class A shares outstanding at June 30, 2024 and 2023, respectively. We had 5.6 million Class B shares outstanding at the end of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investment maturities.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Our operations have historically generated sufficient net positive cash flow to fund our commitments and add to our investment portfolio, thereby increasing future investment returns and enhancing our liquidity. The impact of the pooling agreement between Donegal Mutual and Atlantic States has historically been cash-flow positive because of the consistent underwriting profitability of the pool. Donegal Mutual and Atlantic States settle their respective obligations to each other under the pool monthly, thereby resulting in cash flows substantially similar to the cash flows that would result from each company writing the business directly. We have not experienced any unusual variations in the timing of claim payments associated with the loss reserves of our insurance subsidiaries. We maintain significant liquidity in our investment portfolio in the form of readily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thereby providing an additional measure of liquidity to meet our obligations should an unexpected variation occur in the future. Our operating activities provided net cash flows in the first six months of 2024 and 2023 of $26.5 million and $13.1 million, respectively.</w:t>
      </w:r>
    </w:p>
    <w:p>
      <w:pPr>
        <w:spacing w:after="0" w:line="194" w:lineRule="exact"/>
        <w:rPr>
          <w:sz w:val="20"/>
          <w:szCs w:val="20"/>
          <w:color w:val="auto"/>
        </w:rPr>
      </w:pPr>
    </w:p>
    <w:p>
      <w:pPr>
        <w:jc w:val="both"/>
        <w:ind w:right="420" w:firstLine="445"/>
        <w:spacing w:after="0" w:line="266" w:lineRule="auto"/>
        <w:rPr>
          <w:sz w:val="20"/>
          <w:szCs w:val="20"/>
          <w:color w:val="auto"/>
        </w:rPr>
      </w:pPr>
      <w:r>
        <w:rPr>
          <w:rFonts w:ascii="Times New Roman" w:cs="Times New Roman" w:eastAsia="Times New Roman" w:hAnsi="Times New Roman"/>
          <w:sz w:val="18"/>
          <w:szCs w:val="18"/>
          <w:color w:val="auto"/>
        </w:rPr>
        <w:t>At June 30, 2024, we had no outstanding borrowings under our line of credit with M&amp;T and had the ability to borrow up to $20.0 million at an interest rate equal to the then-current Term SOFR rate plus 2.11%. At June 30, 2024, Atlantic States had a $35.0 million outstanding advance with the FHLB of Pittsburgh that carries a fixed interest rate of 1.74%.</w:t>
      </w:r>
    </w:p>
    <w:p>
      <w:pPr>
        <w:spacing w:after="0" w:line="17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We show these liabilities net of reinsurance recoverable on unpaid losses and loss expenses to reflect expected future cash flows related to such liabilities.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88"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We discuss in Note 7 – Borrowings our estimate of the timing of the amounts payable for the borrowings under our lines of credit based on their contractual maturities.</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and in privately negotiated transactions. We did not purchase any shares of our Class A common stock under this program during the six months ended June 30, 2024 or 2023. We have purchased a total of 57,658 shares of our Class A common stock under this program from its inception through June 30, 2024.</w:t>
      </w:r>
    </w:p>
    <w:p>
      <w:pPr>
        <w:spacing w:after="0" w:line="180"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July 18, 2024, our board of directors declared quarterly cash dividends of $.1725 per share of our Class A common stock and $.155 per share of our Class B common stock, payable on August 15, 2024 to our stockholders of record as of the close of business on August 1, 2024. We are not subject to any restrictions on our payment of dividends to our stockholders, although there are state law restrictions on the payment of dividends by our insurance subsidiaries to us. Dividends from our insurance subsidiaries are our principal source of cash for payment of dividends to our stockholders. Our insurance subsidiaries are subject to regulations that restrict the payment of dividends from statutory surplus and may require prior approval of their domiciliary insurance regulatory authorities. Our insurance subsidiaries are also subject to risk based capital (“RBC”) requirements that limit their ability to pay dividends to us. Our insurance subsidiaries’ statutory capital and surplus at December 31, 2023 exceeded the amount of statutory capital and surplus necessary to satisfy regulatory requirements, including the RBC requirements, by a significant margin. Our insurance subsidiaries paid $5.0 million in dividends to us during the first six months of 2024. Amounts remaining available for distribution to us as dividends from our insurance subsidiaries without prior approval of their domiciliary insurance regulatory authorities in 2024 are $22.4 million from Atlantic States, $7.2 million from MICO and $5.0 million from Peninsula, or a total of approximately $34.6 million.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2024,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jc w:val="both"/>
        <w:ind w:right="200" w:firstLine="445"/>
        <w:spacing w:after="0" w:line="266" w:lineRule="auto"/>
        <w:rPr>
          <w:sz w:val="20"/>
          <w:szCs w:val="20"/>
          <w:color w:val="auto"/>
        </w:rPr>
      </w:pPr>
      <w:r>
        <w:rPr>
          <w:rFonts w:ascii="Times New Roman" w:cs="Times New Roman" w:eastAsia="Times New Roman" w:hAnsi="Times New Roman"/>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80"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76"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or qualitative market risk exposure from December 31, 2023 through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June 30, 2024,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social inflation, labor shortages and escalating medical, automobile and property repair costs), adverse and catastrophic weather events (including from changing climate conditions), our ability to maintain profitable operations (including our ability to underwrite risks effectively and charge adequate premium rates),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2023 Annual Report on Form 10-K that we filed with the SEC on March 6, 2024. There have been no material changes in the risk factors we disclosed in that Form 10-K Report during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6" w:right="5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46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16"/>
        </w:trPr>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Exhibits</w:t>
            </w:r>
          </w:p>
        </w:tc>
        <w:tc>
          <w:tcPr>
            <w:tcW w:w="1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1600" w:type="dxa"/>
            <w:vAlign w:val="bottom"/>
            <w:gridSpan w:val="4"/>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856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600" w:type="dxa"/>
            <w:vAlign w:val="bottom"/>
            <w:gridSpan w:val="4"/>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856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600" w:type="dxa"/>
            <w:vAlign w:val="bottom"/>
            <w:gridSpan w:val="4"/>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856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Statement of Chief Executive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600" w:type="dxa"/>
            <w:vAlign w:val="bottom"/>
            <w:gridSpan w:val="4"/>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856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Statement of Chief Financial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712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S-8 Registration Statement filed on April 25,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2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7"/>
          <w:szCs w:val="17"/>
          <w:b w:val="1"/>
          <w:bCs w:val="1"/>
          <w:color w:val="auto"/>
        </w:rPr>
        <w:t xml:space="preserve">By: </w:t>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6" w:right="7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07"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Donegal Group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60" w:firstLine="332"/>
        <w:spacing w:after="0" w:line="266" w:lineRule="auto"/>
        <w:tabs>
          <w:tab w:leader="none" w:pos="5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60" w:firstLine="332"/>
        <w:spacing w:after="0" w:line="282" w:lineRule="auto"/>
        <w:tabs>
          <w:tab w:leader="none" w:pos="5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332"/>
        <w:spacing w:after="0" w:line="282" w:lineRule="auto"/>
        <w:tabs>
          <w:tab w:leader="none" w:pos="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August 7, 2024</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0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Donegal Group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60" w:firstLine="332"/>
        <w:spacing w:after="0" w:line="266" w:lineRule="auto"/>
        <w:tabs>
          <w:tab w:leader="none" w:pos="5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60" w:firstLine="332"/>
        <w:spacing w:after="0" w:line="282" w:lineRule="auto"/>
        <w:tabs>
          <w:tab w:leader="none" w:pos="5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332"/>
        <w:spacing w:after="0" w:line="282" w:lineRule="auto"/>
        <w:tabs>
          <w:tab w:leader="none" w:pos="5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August 7, 2024</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June 30, 2024,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360" w:hanging="19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June 30, 2024,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360" w:hanging="19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2024-08-07T12:33:49Z</dcterms:created>
  <dcterms:modified xsi:type="dcterms:W3CDTF">2024-08-07T12:33:49Z</dcterms:modified>
</cp:coreProperties>
</file>