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8k_071526.htm"/>
      <w:bookmarkStart w:id="1" w:name="ksf8k_071526"/>
      <w:bookmarkEnd w:id="0"/>
      <w:bookmarkEnd w:id="1"/>
      <w:r>
        <w:rPr/>
        <w:t> </w:t>
      </w:r>
    </w:p>
    <w:p>
      <w:pPr>
        <w:pStyle w:val="TextBody"/>
        <w:bidi w:val="0"/>
        <w:spacing w:before="0" w:after="0"/>
        <w:ind w:left="0" w:right="0" w:hanging="0"/>
        <w:jc w:val="center"/>
        <w:rPr>
          <w:b/>
          <w:sz w:val="20"/>
        </w:rPr>
      </w:pPr>
      <w:r>
        <w:rPr>
          <w:b/>
          <w:sz w:val="20"/>
        </w:rPr>
        <w:t>UNITED STATES</w:t>
        <w:br/>
        <w:t>SECURITIES AND EXCHANGE COMMISSION</w:t>
        <w:br/>
        <w:t>Washington, D.C. 20549</w:t>
        <w:b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 xml:space="preserve">FORM </w:t>
      </w:r>
      <w:bookmarkStart w:id="2" w:name="xdx_90F_edei--DocumentType_c20260716__20"/>
      <w:bookmarkEnd w:id="2"/>
      <w:r>
        <w:rPr>
          <w:b/>
          <w:caps/>
          <w:sz w:val="20"/>
        </w:rPr>
        <w:t>8-K</w:t>
      </w:r>
    </w:p>
    <w:p>
      <w:pPr>
        <w:pStyle w:val="TextBody"/>
        <w:bidi w:val="0"/>
        <w:spacing w:before="0" w:after="0"/>
        <w:ind w:left="0" w:right="0" w:hanging="0"/>
        <w:jc w:val="center"/>
        <w:rPr>
          <w:b/>
          <w:caps/>
          <w:sz w:val="20"/>
        </w:rPr>
      </w:pPr>
      <w:r>
        <w:rPr>
          <w:b/>
          <w:caps/>
          <w:sz w:val="20"/>
        </w:rP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E_edei--DocumentPeriodEndDate_c202"/>
      <w:bookmarkEnd w:id="3"/>
      <w:r>
        <w:rPr>
          <w:sz w:val="20"/>
        </w:rPr>
        <w:t>July 16,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8_edei--EntityRegistrantName_c2026"/>
      <w:bookmarkEnd w:id="4"/>
      <w:r>
        <w:rPr>
          <w:b/>
          <w:sz w:val="20"/>
        </w:rPr>
        <w:t>Donegal Group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9120" w:type="dxa"/>
        <w:jc w:val="left"/>
        <w:tblInd w:w="0" w:type="dxa"/>
        <w:tblLayout w:type="fixed"/>
        <w:tblCellMar>
          <w:top w:w="0" w:type="dxa"/>
          <w:left w:w="0" w:type="dxa"/>
          <w:bottom w:w="0" w:type="dxa"/>
          <w:right w:w="0" w:type="dxa"/>
        </w:tblCellMar>
      </w:tblPr>
      <w:tblGrid>
        <w:gridCol w:w="3635"/>
        <w:gridCol w:w="2210"/>
        <w:gridCol w:w="3275"/>
      </w:tblGrid>
      <w:tr>
        <w:trPr/>
        <w:tc>
          <w:tcPr>
            <w:tcW w:w="363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4_edei--EntityFileNumber_c20260716"/>
            <w:bookmarkEnd w:id="6"/>
            <w:r>
              <w:rPr>
                <w:b/>
                <w:sz w:val="20"/>
              </w:rPr>
              <w:t>0-15341</w:t>
            </w:r>
          </w:p>
        </w:tc>
        <w:tc>
          <w:tcPr>
            <w:tcW w:w="3275" w:type="dxa"/>
            <w:tcBorders/>
            <w:vAlign w:val="center"/>
          </w:tcPr>
          <w:p>
            <w:pPr>
              <w:pStyle w:val="TableContents"/>
              <w:bidi w:val="0"/>
              <w:spacing w:before="0" w:after="283"/>
              <w:jc w:val="center"/>
              <w:rPr>
                <w:b/>
                <w:sz w:val="20"/>
              </w:rPr>
            </w:pPr>
            <w:bookmarkStart w:id="7" w:name="xdx_90B_edei--EntityTaxIdentificationNum"/>
            <w:bookmarkEnd w:id="7"/>
            <w:r>
              <w:rPr>
                <w:b/>
                <w:sz w:val="20"/>
              </w:rPr>
              <w:t>23-2424711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327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6365" w:type="dxa"/>
        <w:jc w:val="left"/>
        <w:tblInd w:w="0" w:type="dxa"/>
        <w:tblLayout w:type="fixed"/>
        <w:tblCellMar>
          <w:top w:w="0" w:type="dxa"/>
          <w:left w:w="0" w:type="dxa"/>
          <w:bottom w:w="0" w:type="dxa"/>
          <w:right w:w="0" w:type="dxa"/>
        </w:tblCellMar>
      </w:tblPr>
      <w:tblGrid>
        <w:gridCol w:w="6365"/>
      </w:tblGrid>
      <w:tr>
        <w:trPr/>
        <w:tc>
          <w:tcPr>
            <w:tcW w:w="6365" w:type="dxa"/>
            <w:tcBorders/>
            <w:vAlign w:val="center"/>
          </w:tcPr>
          <w:p>
            <w:pPr>
              <w:pStyle w:val="TableContents"/>
              <w:bidi w:val="0"/>
              <w:spacing w:before="0" w:after="283"/>
              <w:jc w:val="center"/>
              <w:rPr/>
            </w:pPr>
            <w:bookmarkStart w:id="8" w:name="xdx_905_edei--EntityAddressAddressLine1_"/>
            <w:bookmarkEnd w:id="8"/>
            <w:r>
              <w:rPr>
                <w:b/>
              </w:rPr>
              <w:t xml:space="preserve">1195 River Road, </w:t>
            </w:r>
            <w:bookmarkStart w:id="9" w:name="xdx_900_edei--EntityAddressAddressLine2_"/>
            <w:bookmarkEnd w:id="9"/>
            <w:r>
              <w:rPr>
                <w:b/>
              </w:rPr>
              <w:t xml:space="preserve">P.O. Box 302, </w:t>
            </w:r>
            <w:bookmarkStart w:id="10" w:name="xdx_90F_edei--EntityAddressCityOrTown_c2"/>
            <w:bookmarkEnd w:id="10"/>
            <w:r>
              <w:rPr>
                <w:b/>
              </w:rPr>
              <w:t xml:space="preserve">Marietta, </w:t>
            </w:r>
            <w:bookmarkStart w:id="11" w:name="xdx_902_edei--EntityAddressStateOrProvin"/>
            <w:bookmarkEnd w:id="11"/>
            <w:r>
              <w:rPr>
                <w:b/>
              </w:rPr>
              <w:t>Pennsylvania</w:t>
            </w:r>
            <w:r>
              <w:rPr/>
              <w:t xml:space="preserve"> </w:t>
            </w:r>
            <w:bookmarkStart w:id="12" w:name="xdx_90B_edei--EntityAddressPostalZipCode"/>
            <w:bookmarkEnd w:id="12"/>
            <w:r>
              <w:rPr>
                <w:b/>
              </w:rPr>
              <w:t>17547</w:t>
            </w:r>
          </w:p>
        </w:tc>
      </w:tr>
      <w:tr>
        <w:trPr/>
        <w:tc>
          <w:tcPr>
            <w:tcW w:w="6365" w:type="dxa"/>
            <w:tcBorders/>
            <w:vAlign w:val="center"/>
          </w:tcPr>
          <w:p>
            <w:pPr>
              <w:pStyle w:val="TableContents"/>
              <w:bidi w:val="0"/>
              <w:spacing w:before="0" w:after="283"/>
              <w:jc w:val="center"/>
              <w:rPr>
                <w:sz w:val="20"/>
              </w:rPr>
            </w:pPr>
            <w:r>
              <w:rPr>
                <w:sz w:val="20"/>
              </w:rPr>
              <w:t>(Address of Principal Executive Offices) (Zip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1_edei--CityAreaCode_c20260716__20"/>
      <w:bookmarkEnd w:id="13"/>
      <w:r>
        <w:rPr>
          <w:b/>
          <w:sz w:val="20"/>
        </w:rPr>
        <w:t xml:space="preserve">(717) </w:t>
      </w:r>
      <w:bookmarkStart w:id="14" w:name="xdx_904_edei--LocalPhoneNumber_c20260716"/>
      <w:bookmarkEnd w:id="14"/>
      <w:r>
        <w:rPr>
          <w:b/>
          <w:sz w:val="20"/>
        </w:rPr>
        <w:t>426-1931</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8"/>
        <w:gridCol w:w="304"/>
        <w:gridCol w:w="9803"/>
      </w:tblGrid>
      <w:tr>
        <w:trPr/>
        <w:tc>
          <w:tcPr>
            <w:tcW w:w="10205" w:type="dxa"/>
            <w:gridSpan w:val="3"/>
            <w:tcBorders/>
            <w:vAlign w:val="center"/>
          </w:tcPr>
          <w:p>
            <w:pPr>
              <w:pStyle w:val="TableContents"/>
              <w:bidi w:val="0"/>
              <w:spacing w:before="0" w:after="283"/>
              <w:jc w:val="left"/>
              <w:rPr>
                <w:sz w:val="20"/>
              </w:rPr>
            </w:pPr>
            <w:r>
              <w:rPr>
                <w:sz w:val="20"/>
              </w:rPr>
              <w:t>Check the appropriate box below if the Form 8-K filing is intended to simultaneously satisfy the filing obligation of the registrant under any of the following provisions:</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5" w:name="xdx_90E_edei--WrittenCommunications_c202"/>
            <w:bookmarkEnd w:id="15"/>
            <w:r>
              <w:rPr/>
              <w:t>☐</w:t>
            </w:r>
          </w:p>
        </w:tc>
        <w:tc>
          <w:tcPr>
            <w:tcW w:w="9803"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6" w:name="xdx_900_edei--SolicitingMaterial_c202607"/>
            <w:bookmarkEnd w:id="16"/>
            <w:r>
              <w:rPr/>
              <w:t>☐</w:t>
            </w:r>
          </w:p>
        </w:tc>
        <w:tc>
          <w:tcPr>
            <w:tcW w:w="9803"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7" w:name="xdx_904_edei--PreCommencementTenderOffer"/>
            <w:bookmarkEnd w:id="17"/>
            <w:r>
              <w:rPr/>
              <w:t>☐</w:t>
            </w:r>
          </w:p>
        </w:tc>
        <w:tc>
          <w:tcPr>
            <w:tcW w:w="9803"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8" w:name="xdx_909_edei--PreCommencementIssuerTende"/>
            <w:bookmarkEnd w:id="18"/>
            <w:r>
              <w:rPr/>
              <w:t>☐</w:t>
            </w:r>
          </w:p>
        </w:tc>
        <w:tc>
          <w:tcPr>
            <w:tcW w:w="9803"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19" w:name="xdx_908_edei--EntityEmergingGrowthCompan"/>
      <w:bookmarkEnd w:id="19"/>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8610" w:type="dxa"/>
        <w:jc w:val="left"/>
        <w:tblInd w:w="0" w:type="dxa"/>
        <w:tblLayout w:type="fixed"/>
        <w:tblCellMar>
          <w:top w:w="0" w:type="dxa"/>
          <w:left w:w="0" w:type="dxa"/>
          <w:bottom w:w="28" w:type="dxa"/>
          <w:right w:w="0" w:type="dxa"/>
        </w:tblCellMar>
      </w:tblPr>
      <w:tblGrid>
        <w:gridCol w:w="3305"/>
        <w:gridCol w:w="60"/>
        <w:gridCol w:w="1415"/>
        <w:gridCol w:w="60"/>
        <w:gridCol w:w="3770"/>
      </w:tblGrid>
      <w:tr>
        <w:trPr/>
        <w:tc>
          <w:tcPr>
            <w:tcW w:w="330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b/>
                <w:sz w:val="20"/>
              </w:rPr>
            </w:pPr>
            <w:bookmarkStart w:id="20" w:name="xdx_907_edei--Security12bTitle_c20260716"/>
            <w:bookmarkEnd w:id="20"/>
            <w:r>
              <w:rPr>
                <w:b/>
                <w:sz w:val="20"/>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1" w:name="xdx_90D_edei--TradingSymbol_c20260716__2"/>
            <w:bookmarkEnd w:id="21"/>
            <w:r>
              <w:rPr>
                <w:b/>
                <w:sz w:val="20"/>
              </w:rPr>
              <w:t>DGICA</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2" w:name="xdx_905_edei--SecurityExchangeName_c2026"/>
            <w:bookmarkEnd w:id="22"/>
            <w:r>
              <w:rPr>
                <w:b/>
                <w:sz w:val="20"/>
              </w:rPr>
              <w:t>The NASDAQ Global Select Market</w:t>
            </w:r>
          </w:p>
        </w:tc>
      </w:tr>
      <w:tr>
        <w:trPr/>
        <w:tc>
          <w:tcPr>
            <w:tcW w:w="3305" w:type="dxa"/>
            <w:tcBorders/>
            <w:tcMar>
              <w:bottom w:w="0" w:type="dxa"/>
            </w:tcMar>
            <w:vAlign w:val="center"/>
          </w:tcPr>
          <w:p>
            <w:pPr>
              <w:pStyle w:val="TableContents"/>
              <w:bidi w:val="0"/>
              <w:spacing w:before="0" w:after="283"/>
              <w:jc w:val="center"/>
              <w:rPr>
                <w:b/>
                <w:sz w:val="20"/>
              </w:rPr>
            </w:pPr>
            <w:bookmarkStart w:id="23" w:name="xdx_903_edei--Security12bTitle_c20260716"/>
            <w:bookmarkEnd w:id="23"/>
            <w:r>
              <w:rPr>
                <w:b/>
                <w:sz w:val="20"/>
              </w:rPr>
              <w:t>Class B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4" w:name="xdx_90B_edei--TradingSymbol_c20260716__2"/>
            <w:bookmarkEnd w:id="24"/>
            <w:r>
              <w:rPr>
                <w:b/>
                <w:sz w:val="20"/>
              </w:rPr>
              <w:t>DGICB</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5" w:name="xdx_904_edei--SecurityExchangeName_c2026"/>
            <w:bookmarkEnd w:id="25"/>
            <w:r>
              <w:rPr>
                <w:b/>
                <w:sz w:val="20"/>
              </w:rPr>
              <w:t>The 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7.01. Regulation FD Disclosure.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July 16, 2026, the Registrant issued a press release, a copy of which is attached hereto as Exhibit 99.1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16, 2026</w:t>
              </w:r>
            </w:hyperlink>
          </w:p>
        </w:tc>
      </w:tr>
      <w:tr>
        <w:trPr/>
        <w:tc>
          <w:tcPr>
            <w:tcW w:w="1055"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165" w:type="dxa"/>
        <w:jc w:val="left"/>
        <w:tblInd w:w="0" w:type="dxa"/>
        <w:tblLayout w:type="fixed"/>
        <w:tblCellMar>
          <w:top w:w="0" w:type="dxa"/>
          <w:left w:w="0" w:type="dxa"/>
          <w:bottom w:w="0" w:type="dxa"/>
          <w:right w:w="0" w:type="dxa"/>
        </w:tblCellMar>
      </w:tblPr>
      <w:tblGrid>
        <w:gridCol w:w="1625"/>
        <w:gridCol w:w="365"/>
        <w:gridCol w:w="4175"/>
      </w:tblGrid>
      <w:tr>
        <w:trPr/>
        <w:tc>
          <w:tcPr>
            <w:tcW w:w="162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b/>
                <w:sz w:val="20"/>
              </w:rPr>
            </w:pPr>
            <w:r>
              <w:rPr>
                <w:b/>
                <w:sz w:val="20"/>
              </w:rPr>
              <w:t>Donegal Group Inc.</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16, 2026</w:t>
            </w:r>
          </w:p>
        </w:tc>
        <w:tc>
          <w:tcPr>
            <w:tcW w:w="365" w:type="dxa"/>
            <w:tcBorders/>
            <w:vAlign w:val="center"/>
          </w:tcPr>
          <w:p>
            <w:pPr>
              <w:pStyle w:val="TableContents"/>
              <w:bidi w:val="0"/>
              <w:spacing w:before="0" w:after="283"/>
              <w:jc w:val="left"/>
              <w:rPr>
                <w:sz w:val="20"/>
              </w:rPr>
            </w:pPr>
            <w:r>
              <w:rPr>
                <w:sz w:val="20"/>
              </w:rPr>
              <w:t>By: </w:t>
            </w:r>
          </w:p>
        </w:tc>
        <w:tc>
          <w:tcPr>
            <w:tcW w:w="4175" w:type="dxa"/>
            <w:tcBorders/>
            <w:vAlign w:val="center"/>
          </w:tcPr>
          <w:p>
            <w:pPr>
              <w:pStyle w:val="TableContents"/>
              <w:bidi w:val="0"/>
              <w:spacing w:before="0" w:after="283"/>
              <w:jc w:val="left"/>
              <w:rPr>
                <w:sz w:val="20"/>
                <w:u w:val="single"/>
              </w:rPr>
            </w:pPr>
            <w:r>
              <w:rPr>
                <w:sz w:val="20"/>
                <w:u w:val="single"/>
              </w:rPr>
              <w:t>/s/ Jeffrey D. Miller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Jeffrey D. Miller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Executive Vice President &amp; Chief Financial Officer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center"/>
        <w:rPr/>
      </w:pPr>
      <w:r>
        <w:rPr/>
        <w:t> </w:t>
      </w:r>
    </w:p>
    <w:tbl>
      <w:tblPr>
        <w:tblW w:w="7945" w:type="dxa"/>
        <w:jc w:val="left"/>
        <w:tblInd w:w="0" w:type="dxa"/>
        <w:tblLayout w:type="fixed"/>
        <w:tblCellMar>
          <w:top w:w="0" w:type="dxa"/>
          <w:left w:w="0" w:type="dxa"/>
          <w:bottom w:w="0" w:type="dxa"/>
          <w:right w:w="0" w:type="dxa"/>
        </w:tblCellMar>
      </w:tblPr>
      <w:tblGrid>
        <w:gridCol w:w="1400"/>
        <w:gridCol w:w="60"/>
        <w:gridCol w:w="6485"/>
      </w:tblGrid>
      <w:tr>
        <w:trPr/>
        <w:tc>
          <w:tcPr>
            <w:tcW w:w="1400" w:type="dxa"/>
            <w:tcBorders/>
            <w:vAlign w:val="center"/>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16, 2026</w:t>
              </w:r>
            </w:hyperlink>
          </w:p>
        </w:tc>
      </w:tr>
      <w:tr>
        <w:trPr/>
        <w:tc>
          <w:tcPr>
            <w:tcW w:w="1400"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Donegal Group Inc. Announces Quarterly Dividend</w:t>
      </w:r>
    </w:p>
    <w:p>
      <w:pPr>
        <w:pStyle w:val="TextBody"/>
        <w:bidi w:val="0"/>
        <w:jc w:val="left"/>
        <w:rPr/>
      </w:pPr>
      <w:r>
        <w:rPr/>
        <w:t>MARIETTA, Pa., July 16, 2026 (GLOBE NEWSWIRE) -- Donegal Group Inc. (NASDAQ:DGICA) and (NASDAQ:DGICB) reported today that its board of directors declared a regular quarterly cash dividend of $0.1925 per share of the Company’s Class A common stock and $0.175 per share of the Company’s Class B common stock. The dividends are payable on August 14, 2026 to stockholders of record as of the close of business on July 31, 2026.</w:t>
      </w:r>
    </w:p>
    <w:p>
      <w:pPr>
        <w:pStyle w:val="TextBody"/>
        <w:bidi w:val="0"/>
        <w:spacing w:before="0" w:after="283"/>
        <w:jc w:val="left"/>
        <w:rPr/>
      </w:pPr>
      <w:r>
        <w:rPr>
          <w:rStyle w:val="StrongEmphasis"/>
        </w:rPr>
        <w:t>About Donegal Group Inc.</w:t>
      </w:r>
    </w:p>
    <w:p>
      <w:pPr>
        <w:pStyle w:val="TextBody"/>
        <w:bidi w:val="0"/>
        <w:jc w:val="both"/>
        <w:rPr/>
      </w:pPr>
      <w:r>
        <w:rPr/>
        <w:t>Donegal Group Inc. is an insurance holding company whose insurance subsidiaries and affiliates offer property and casualty lines of insurance in 21 Mid-Atlantic, Midwestern, Southern and Southwestern states. Donegal Mutual Insurance Company and its insurance subsidiaries conduct business together with the insurance subsidiaries of Donegal Group Inc. as the Donegal Insurance Group. The Donegal Insurance Group has an A.M. Best rating of A (Excellent).</w:t>
      </w:r>
    </w:p>
    <w:p>
      <w:pPr>
        <w:pStyle w:val="TextBody"/>
        <w:bidi w:val="0"/>
        <w:jc w:val="both"/>
        <w:rPr/>
      </w:pPr>
      <w:r>
        <w:rPr/>
        <w:t>The Class A common stock and Class B common stock of Donegal Group Inc. trade on the NASDAQ Global Select Market under the symbols DGICA and DGICB, respectively. The Company is focused on several primary strategies, including achieving sustained excellent financial performance, advancing its operational and digital capabilities, capitalizing on opportunities to grow profitably and providing superior experiences to its agents, customers and employees.</w:t>
      </w:r>
    </w:p>
    <w:p>
      <w:pPr>
        <w:pStyle w:val="TextBody"/>
        <w:bidi w:val="0"/>
        <w:spacing w:before="0" w:after="283"/>
        <w:jc w:val="left"/>
        <w:rPr/>
      </w:pPr>
      <w:r>
        <w:rPr>
          <w:rStyle w:val="StrongEmphasis"/>
        </w:rPr>
        <w:t>Investor Relations Contact</w:t>
      </w:r>
    </w:p>
    <w:p>
      <w:pPr>
        <w:pStyle w:val="TextBody"/>
        <w:bidi w:val="0"/>
        <w:spacing w:before="0" w:after="283"/>
        <w:jc w:val="left"/>
        <w:rPr/>
      </w:pPr>
      <w:r>
        <w:rPr/>
        <w:t>Jeremy Hellman, Vice President, The Equity Group Inc.</w:t>
        <w:br/>
        <w:t>Phone: (212) 836-9626</w:t>
        <w:br/>
        <w:t>E-mail: jhellman@theequitygroup.com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679</Words>
  <Characters>3824</Characters>
  <CharactersWithSpaces>4563</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