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132715</wp:posOffset>
            </wp:positionV>
            <wp:extent cx="234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165100</wp:posOffset>
            </wp:positionV>
            <wp:extent cx="234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20" w:right="1600" w:hanging="3812"/>
        <w:spacing w:after="0" w:line="263"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9" w:lineRule="exact"/>
        <w:rPr>
          <w:sz w:val="24"/>
          <w:szCs w:val="24"/>
          <w:color w:val="auto"/>
        </w:rPr>
      </w:pPr>
    </w:p>
    <w:p>
      <w:pPr>
        <w:ind w:left="3560"/>
        <w:spacing w:after="0"/>
        <w:tabs>
          <w:tab w:leader="none" w:pos="6660" w:val="left"/>
          <w:tab w:leader="none" w:pos="7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488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Donegal Group Inc.</w:t>
      </w:r>
    </w:p>
    <w:p>
      <w:pPr>
        <w:spacing w:after="0" w:line="58" w:lineRule="exact"/>
        <w:rPr>
          <w:sz w:val="24"/>
          <w:szCs w:val="24"/>
          <w:color w:val="auto"/>
        </w:rPr>
      </w:pPr>
    </w:p>
    <w:tbl>
      <w:tblPr>
        <w:tblLayout w:type="fixed"/>
        <w:tblInd w:w="1640" w:type="dxa"/>
        <w:tblCellMar>
          <w:top w:w="0" w:type="dxa"/>
          <w:left w:w="0" w:type="dxa"/>
          <w:bottom w:w="0" w:type="dxa"/>
          <w:right w:w="0" w:type="dxa"/>
        </w:tblCellMar>
      </w:tblPr>
      <w:tr>
        <w:trPr>
          <w:trHeight w:val="238"/>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40" w:type="dxa"/>
            <w:vAlign w:val="bottom"/>
          </w:tcPr>
          <w:p>
            <w:pPr>
              <w:spacing w:after="0"/>
              <w:rPr>
                <w:sz w:val="20"/>
                <w:szCs w:val="20"/>
                <w:color w:val="auto"/>
              </w:rPr>
            </w:pPr>
          </w:p>
        </w:tc>
      </w:tr>
      <w:tr>
        <w:trPr>
          <w:trHeight w:val="199"/>
        </w:trPr>
        <w:tc>
          <w:tcPr>
            <w:tcW w:w="214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10"/>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23-2424711</w:t>
            </w:r>
          </w:p>
        </w:tc>
      </w:tr>
      <w:tr>
        <w:trPr>
          <w:trHeight w:val="216"/>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60" w:type="dxa"/>
            <w:vAlign w:val="bottom"/>
            <w:gridSpan w:val="3"/>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1195 River Road, P.O. Box 302, Marietta, PA 17547</w:t>
            </w:r>
          </w:p>
        </w:tc>
        <w:tc>
          <w:tcPr>
            <w:tcW w:w="1440" w:type="dxa"/>
            <w:vAlign w:val="bottom"/>
          </w:tcPr>
          <w:p>
            <w:pPr>
              <w:spacing w:after="0"/>
              <w:rPr>
                <w:sz w:val="24"/>
                <w:szCs w:val="24"/>
                <w:color w:val="auto"/>
              </w:rPr>
            </w:pPr>
          </w:p>
        </w:tc>
      </w:tr>
      <w:tr>
        <w:trPr>
          <w:trHeight w:val="238"/>
        </w:trPr>
        <w:tc>
          <w:tcPr>
            <w:tcW w:w="6060" w:type="dxa"/>
            <w:vAlign w:val="bottom"/>
            <w:gridSpan w:val="3"/>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440" w:type="dxa"/>
            <w:vAlign w:val="bottom"/>
          </w:tcPr>
          <w:p>
            <w:pPr>
              <w:spacing w:after="0"/>
              <w:rPr>
                <w:sz w:val="20"/>
                <w:szCs w:val="20"/>
                <w:color w:val="auto"/>
              </w:rPr>
            </w:pPr>
          </w:p>
        </w:tc>
      </w:tr>
      <w:tr>
        <w:trPr>
          <w:trHeight w:val="410"/>
        </w:trPr>
        <w:tc>
          <w:tcPr>
            <w:tcW w:w="5840" w:type="dxa"/>
            <w:vAlign w:val="bottom"/>
            <w:gridSpan w:val="2"/>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(717) 426-1931</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6060" w:type="dxa"/>
            <w:vAlign w:val="bottom"/>
            <w:gridSpan w:val="3"/>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4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142875</wp:posOffset>
            </wp:positionV>
            <wp:extent cx="23488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12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80" w:firstLine="441"/>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16" w:right="339" w:bottom="2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300" w:space="720"/>
            <w:col w:w="2060" w:space="720"/>
            <w:col w:w="2060" w:space="720"/>
            <w:col w:w="2660"/>
          </w:cols>
          <w:pgMar w:left="320" w:top="516" w:right="339" w:bottom="2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516" w:right="339" w:bottom="20" w:gutter="0" w:footer="0" w:header="0"/>
          <w:type w:val="continuous"/>
        </w:sectPr>
      </w:pPr>
    </w:p>
    <w:p>
      <w:pPr>
        <w:spacing w:after="0" w:line="190" w:lineRule="exact"/>
        <w:rPr>
          <w:sz w:val="24"/>
          <w:szCs w:val="24"/>
          <w:color w:val="auto"/>
        </w:rPr>
      </w:pPr>
    </w:p>
    <w:p>
      <w:pPr>
        <w:ind w:right="60" w:firstLine="441"/>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line="207" w:lineRule="exact"/>
        <w:tabs>
          <w:tab w:leader="none" w:pos="87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32"/>
        </w:trPr>
        <w:tc>
          <w:tcPr>
            <w:tcW w:w="42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Class A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DGICA</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432"/>
        </w:trPr>
        <w:tc>
          <w:tcPr>
            <w:tcW w:w="42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Class B Common Stock, $.01 par value</w:t>
            </w:r>
          </w:p>
        </w:tc>
        <w:tc>
          <w:tcPr>
            <w:tcW w:w="27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DGICB</w:t>
            </w:r>
          </w:p>
        </w:tc>
        <w:tc>
          <w:tcPr>
            <w:tcW w:w="42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98" w:lineRule="exact"/>
        <w:rPr>
          <w:sz w:val="24"/>
          <w:szCs w:val="24"/>
          <w:color w:val="auto"/>
        </w:rPr>
      </w:pPr>
    </w:p>
    <w:p>
      <w:pPr>
        <w:jc w:val="both"/>
        <w:ind w:right="400" w:firstLine="441"/>
        <w:spacing w:after="0" w:line="266"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30,519,896 shares of Class A Common Stock, par value $0.01 per share, and 5,576,775 shares of Class B Common Stock, par value $0.01 per share, outstanding on May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516" w:right="339" w:bottom="2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FORM 10-Q REPORT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6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3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Page</w:t>
            </w:r>
          </w:p>
        </w:tc>
      </w:tr>
      <w:tr>
        <w:trPr>
          <w:trHeight w:val="162"/>
        </w:trPr>
        <w:tc>
          <w:tcPr>
            <w:tcW w:w="8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PART I</w:t>
            </w:r>
          </w:p>
        </w:tc>
        <w:tc>
          <w:tcPr>
            <w:tcW w:w="9740" w:type="dxa"/>
            <w:vAlign w:val="bottom"/>
            <w:gridSpan w:val="14"/>
            <w:shd w:val="clear" w:color="auto" w:fill="CCEEFF"/>
          </w:tcPr>
          <w:p>
            <w:pPr>
              <w:ind w:left="80"/>
              <w:spacing w:after="0" w:line="162" w:lineRule="exact"/>
              <w:rPr>
                <w:sz w:val="20"/>
                <w:szCs w:val="20"/>
                <w:color w:val="auto"/>
              </w:rPr>
            </w:pPr>
            <w:r>
              <w:rPr>
                <w:rFonts w:ascii="Times New Roman" w:cs="Times New Roman" w:eastAsia="Times New Roman" w:hAnsi="Times New Roman"/>
                <w:sz w:val="18"/>
                <w:szCs w:val="18"/>
                <w:color w:val="0000EE"/>
              </w:rPr>
              <w:t>FINANCIAL INFORMATION</w:t>
            </w:r>
          </w:p>
        </w:tc>
        <w:tc>
          <w:tcPr>
            <w:tcW w:w="660" w:type="dxa"/>
            <w:vAlign w:val="bottom"/>
            <w:shd w:val="clear" w:color="auto" w:fill="CCEEFF"/>
          </w:tcPr>
          <w:p>
            <w:pPr>
              <w:spacing w:after="0"/>
              <w:rPr>
                <w:sz w:val="14"/>
                <w:szCs w:val="14"/>
                <w:color w:val="auto"/>
              </w:rPr>
            </w:pPr>
          </w:p>
        </w:tc>
      </w:tr>
      <w:tr>
        <w:trPr>
          <w:trHeight w:val="34"/>
        </w:trPr>
        <w:tc>
          <w:tcPr>
            <w:tcW w:w="7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32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shd w:val="clear" w:color="auto" w:fill="CCEEFF"/>
          </w:tcPr>
          <w:p>
            <w:pPr>
              <w:spacing w:after="0"/>
              <w:rPr>
                <w:sz w:val="15"/>
                <w:szCs w:val="15"/>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40" w:type="dxa"/>
            <w:vAlign w:val="bottom"/>
            <w:gridSpan w:val="1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14"/>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399"/>
        </w:trPr>
        <w:tc>
          <w:tcPr>
            <w:tcW w:w="7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800" w:type="dxa"/>
            <w:vAlign w:val="bottom"/>
            <w:gridSpan w:val="3"/>
            <w:vMerge w:val="continue"/>
          </w:tcPr>
          <w:p>
            <w:pPr>
              <w:spacing w:after="0"/>
              <w:rPr>
                <w:sz w:val="13"/>
                <w:szCs w:val="13"/>
                <w:color w:val="auto"/>
              </w:rPr>
            </w:pPr>
          </w:p>
        </w:tc>
        <w:tc>
          <w:tcPr>
            <w:tcW w:w="19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to maturity, at amortized cost (net of allowance for expected credit losses of $1,350,820 and $1,388,240)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706,097,889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705,713,916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Available for sale, at fair value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640,456,492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617,891,862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40,206,038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36,807,810</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Short-term investments, at cost, which approximates fair value</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20,621,831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24,558,744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1,407,382,250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1,384,972,332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w:t>
            </w:r>
          </w:p>
        </w:tc>
        <w:tc>
          <w:tcPr>
            <w:tcW w:w="19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64,315,113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52,925,931</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11,108,128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10,361,959</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193,975,126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181,106,519</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receivable (net of allowance for expected credit losses of $433,614 and $391,432)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403,381,615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420,741,855</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76,194,332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73,346,967</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17,069,472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18,769,861</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182,859,682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176,161,872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2,441,407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2,479,183</w:t>
            </w:r>
          </w:p>
        </w:tc>
        <w:tc>
          <w:tcPr>
            <w:tcW w:w="0" w:type="dxa"/>
            <w:vAlign w:val="bottom"/>
          </w:tcPr>
          <w:p>
            <w:pPr>
              <w:spacing w:after="0"/>
              <w:rPr>
                <w:sz w:val="1"/>
                <w:szCs w:val="1"/>
                <w:color w:val="auto"/>
              </w:rPr>
            </w:pPr>
          </w:p>
        </w:tc>
      </w:tr>
      <w:tr>
        <w:trPr>
          <w:trHeight w:val="216"/>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receivable - securities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2,898,217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8,410,090</w:t>
            </w:r>
          </w:p>
        </w:tc>
        <w:tc>
          <w:tcPr>
            <w:tcW w:w="0" w:type="dxa"/>
            <w:vAlign w:val="bottom"/>
          </w:tcPr>
          <w:p>
            <w:pPr>
              <w:spacing w:after="0"/>
              <w:rPr>
                <w:sz w:val="1"/>
                <w:szCs w:val="1"/>
                <w:color w:val="auto"/>
              </w:rPr>
            </w:pPr>
          </w:p>
        </w:tc>
      </w:tr>
      <w:tr>
        <w:trPr>
          <w:trHeight w:val="216"/>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5,625,354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5,625,354</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958,010</w:t>
            </w:r>
          </w:p>
        </w:tc>
        <w:tc>
          <w:tcPr>
            <w:tcW w:w="0" w:type="dxa"/>
            <w:vAlign w:val="bottom"/>
          </w:tcPr>
          <w:p>
            <w:pPr>
              <w:spacing w:after="0"/>
              <w:rPr>
                <w:sz w:val="1"/>
                <w:szCs w:val="1"/>
                <w:color w:val="auto"/>
              </w:rPr>
            </w:pPr>
          </w:p>
        </w:tc>
      </w:tr>
      <w:tr>
        <w:trPr>
          <w:trHeight w:val="223"/>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147,126</w:t>
            </w:r>
          </w:p>
        </w:tc>
        <w:tc>
          <w:tcPr>
            <w:tcW w:w="0" w:type="dxa"/>
            <w:vAlign w:val="bottom"/>
          </w:tcPr>
          <w:p>
            <w:pPr>
              <w:spacing w:after="0"/>
              <w:rPr>
                <w:sz w:val="1"/>
                <w:szCs w:val="1"/>
                <w:color w:val="auto"/>
              </w:rPr>
            </w:pPr>
          </w:p>
        </w:tc>
      </w:tr>
      <w:tr>
        <w:trPr>
          <w:trHeight w:val="256"/>
        </w:trPr>
        <w:tc>
          <w:tcPr>
            <w:tcW w:w="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2,368,277,179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2,336,031,983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8620" w:type="dxa"/>
            <w:vAlign w:val="bottom"/>
            <w:tcBorders>
              <w:top w:val="single" w:sz="8" w:color="CCEEFF"/>
            </w:tcBorders>
            <w:gridSpan w:val="5"/>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9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980" w:type="dxa"/>
            <w:vAlign w:val="bottom"/>
            <w:shd w:val="clear" w:color="auto" w:fill="CCEEFF"/>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1,092,623,564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1,120,985,050</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633,564,371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612,476,068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2,978,390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2,916,705</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3,829,775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4,345,426</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declared to stockholders</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6,031,078</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Federal income taxes payable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6,465,068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356,103</w:t>
            </w:r>
          </w:p>
        </w:tc>
        <w:tc>
          <w:tcPr>
            <w:tcW w:w="0" w:type="dxa"/>
            <w:vAlign w:val="bottom"/>
          </w:tcPr>
          <w:p>
            <w:pPr>
              <w:spacing w:after="0"/>
              <w:rPr>
                <w:sz w:val="1"/>
                <w:szCs w:val="1"/>
                <w:color w:val="auto"/>
              </w:rPr>
            </w:pPr>
          </w:p>
        </w:tc>
      </w:tr>
      <w:tr>
        <w:trPr>
          <w:trHeight w:val="223"/>
        </w:trPr>
        <w:tc>
          <w:tcPr>
            <w:tcW w:w="8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9,092,996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8,145,422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1,783,554,164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1,790,255,852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2,000,000 shares; none issued</w:t>
            </w: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2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authorized 50,000,000 shares, issued 33,429,227 and 32,954,347 shares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30,426,639 and 29,951,759 shares</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334,293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329,544</w:t>
            </w:r>
          </w:p>
        </w:tc>
        <w:tc>
          <w:tcPr>
            <w:tcW w:w="0" w:type="dxa"/>
            <w:vAlign w:val="bottom"/>
          </w:tcPr>
          <w:p>
            <w:pPr>
              <w:spacing w:after="0"/>
              <w:rPr>
                <w:sz w:val="1"/>
                <w:szCs w:val="1"/>
                <w:color w:val="auto"/>
              </w:rPr>
            </w:pPr>
          </w:p>
        </w:tc>
      </w:tr>
      <w:tr>
        <w:trPr>
          <w:trHeight w:val="198"/>
        </w:trPr>
        <w:tc>
          <w:tcPr>
            <w:tcW w:w="8620" w:type="dxa"/>
            <w:vAlign w:val="bottom"/>
            <w:gridSpan w:val="5"/>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authorized 10,000,000 shares, issued 5,649,240 shares and outstanding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5,576,775 shares</w:t>
            </w: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56,492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56,492</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376,863,917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369,679,946</w:t>
            </w:r>
          </w:p>
        </w:tc>
        <w:tc>
          <w:tcPr>
            <w:tcW w:w="0" w:type="dxa"/>
            <w:vAlign w:val="bottom"/>
          </w:tcPr>
          <w:p>
            <w:pPr>
              <w:spacing w:after="0"/>
              <w:rPr>
                <w:sz w:val="1"/>
                <w:szCs w:val="1"/>
                <w:color w:val="auto"/>
              </w:rPr>
            </w:pPr>
          </w:p>
        </w:tc>
      </w:tr>
      <w:tr>
        <w:trPr>
          <w:trHeight w:val="216"/>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(21,472,236)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(28,200,481)</w:t>
            </w:r>
          </w:p>
        </w:tc>
        <w:tc>
          <w:tcPr>
            <w:tcW w:w="0" w:type="dxa"/>
            <w:vAlign w:val="bottom"/>
          </w:tcPr>
          <w:p>
            <w:pPr>
              <w:spacing w:after="0"/>
              <w:rPr>
                <w:sz w:val="1"/>
                <w:szCs w:val="1"/>
                <w:color w:val="auto"/>
              </w:rPr>
            </w:pPr>
          </w:p>
        </w:tc>
      </w:tr>
      <w:tr>
        <w:trPr>
          <w:trHeight w:val="216"/>
        </w:trPr>
        <w:tc>
          <w:tcPr>
            <w:tcW w:w="86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270,166,906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245,136,987</w:t>
            </w:r>
          </w:p>
        </w:tc>
        <w:tc>
          <w:tcPr>
            <w:tcW w:w="0" w:type="dxa"/>
            <w:vAlign w:val="bottom"/>
          </w:tcPr>
          <w:p>
            <w:pPr>
              <w:spacing w:after="0"/>
              <w:rPr>
                <w:sz w:val="1"/>
                <w:szCs w:val="1"/>
                <w:color w:val="auto"/>
              </w:rPr>
            </w:pPr>
          </w:p>
        </w:tc>
      </w:tr>
      <w:tr>
        <w:trPr>
          <w:trHeight w:val="223"/>
        </w:trPr>
        <w:tc>
          <w:tcPr>
            <w:tcW w:w="862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(41,226,357)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(41,226,357)</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584,723,015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545,776,131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2,368,277,179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2,336,031,983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232,701,889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227,748,679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income, net of investment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11,983,574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10,972,327</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investment (losses) gains (includes $57,103 and ($77,051) accumulated other comprehensive income</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(470,861)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2,113,378</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81,823</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fees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882,195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245,173,624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241,140,869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132,033,147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150,896,415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39,602,000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41,194,994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41,739,868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1,054,659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154,597</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461,100</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214,012,675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233,892,473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31,160,949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7,248,396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(includes $11,992 and ($16,181) income tax expense (benefit) from reclassification items)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1,292,845</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 - diluted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03"/>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5,955,551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income (loss) on securities: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holding income (loss) during the period, net of income tax expense</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of $1,800,510 and ($441,850)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6,773,356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(1,662,160)</w:t>
            </w: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(gains) losses included in net income, net of income</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 (benefit) of $11,992 and ($16,181)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(45,111)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60,870</w:t>
            </w: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6,728,245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(1,601,290)</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31,933,419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4,354,261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20" w:type="dxa"/>
            <w:vAlign w:val="bottom"/>
            <w:gridSpan w:val="10"/>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Stockholders’ Equity</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4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Additional</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Class B</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Shares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Loss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32,954,347</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5,649,240</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$329,544</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2"/>
              </w:rPr>
              <w:t>$56,492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$369,679,946</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(28,200,481)</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$245,136,987</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$ 545,776,131</w:t>
            </w:r>
          </w:p>
        </w:tc>
        <w:tc>
          <w:tcPr>
            <w:tcW w:w="80" w:type="dxa"/>
            <w:vAlign w:val="bottom"/>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444,142</w:t>
            </w: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444,507</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438,380</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4,384</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6,571,130</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6,575,514</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25,205,174</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25,205,174</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(6,556)</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(6,556)</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168,699</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(168,699)</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6,728,245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6,728,245</w:t>
            </w:r>
          </w:p>
        </w:tc>
      </w:tr>
      <w:tr>
        <w:trPr>
          <w:trHeight w:val="27"/>
        </w:trPr>
        <w:tc>
          <w:tcPr>
            <w:tcW w:w="320" w:type="dxa"/>
            <w:vAlign w:val="bottom"/>
            <w:shd w:val="clear" w:color="auto" w:fill="CCEEFF"/>
          </w:tcPr>
          <w:p>
            <w:pPr>
              <w:spacing w:after="0"/>
              <w:rPr>
                <w:sz w:val="2"/>
                <w:szCs w:val="2"/>
                <w:color w:val="auto"/>
              </w:rPr>
            </w:pPr>
          </w:p>
        </w:tc>
        <w:tc>
          <w:tcPr>
            <w:tcW w:w="1860" w:type="dxa"/>
            <w:vAlign w:val="bottom"/>
            <w:tcBorders>
              <w:right w:val="single" w:sz="8" w:color="CCEEFF"/>
            </w:tcBorders>
            <w:shd w:val="clear" w:color="auto" w:fill="CCEEFF"/>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33,429,227</w:t>
            </w: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5,649,240</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334,293</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56,492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376,863,917</w:t>
            </w:r>
          </w:p>
        </w:tc>
        <w:tc>
          <w:tcPr>
            <w:tcW w:w="23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(21,472,236)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270,166,906</w:t>
            </w:r>
          </w:p>
        </w:tc>
        <w:tc>
          <w:tcPr>
            <w:tcW w:w="2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 (41,226,357) $ 584,723,015</w:t>
            </w:r>
          </w:p>
        </w:tc>
      </w:tr>
      <w:tr>
        <w:trPr>
          <w:trHeight w:val="21"/>
        </w:trPr>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40" w:type="dxa"/>
            <w:vAlign w:val="bottom"/>
            <w:gridSpan w:val="9"/>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Accumulated</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Other</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r>
      <w:tr>
        <w:trPr>
          <w:trHeight w:val="216"/>
        </w:trPr>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Class B</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Class A</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Class B</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Paid-In</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Treasury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r>
      <w:tr>
        <w:trPr>
          <w:trHeight w:val="241"/>
        </w:trPr>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Amount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1"/>
              </w:rPr>
              <w:t>Amount</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Capital</w:t>
            </w:r>
          </w:p>
        </w:tc>
        <w:tc>
          <w:tcPr>
            <w:tcW w:w="16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Loss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30,764,555</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9"/>
              </w:rPr>
              <w:t>5,649,240</w:t>
            </w:r>
          </w:p>
        </w:tc>
        <w:tc>
          <w:tcPr>
            <w:tcW w:w="6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$307,646</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$56,492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$335,694,478</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(32,881,822)</w:t>
            </w:r>
          </w:p>
        </w:tc>
        <w:tc>
          <w:tcPr>
            <w:tcW w:w="120" w:type="dxa"/>
            <w:vAlign w:val="bottom"/>
            <w:tcBorders>
              <w:right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$ 217,794,917</w:t>
            </w: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(41,226,357)</w:t>
            </w: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$ 479,745,354</w:t>
            </w:r>
          </w:p>
        </w:tc>
        <w:tc>
          <w:tcPr>
            <w:tcW w:w="80" w:type="dxa"/>
            <w:vAlign w:val="bottom"/>
            <w:shd w:val="clear" w:color="auto" w:fill="CCEEFF"/>
          </w:tcPr>
          <w:p>
            <w:pPr>
              <w:spacing w:after="0"/>
              <w:rPr>
                <w:sz w:val="18"/>
                <w:szCs w:val="18"/>
                <w:color w:val="auto"/>
              </w:rPr>
            </w:pPr>
          </w:p>
        </w:tc>
      </w:tr>
      <w:tr>
        <w:trPr>
          <w:trHeight w:val="198"/>
        </w:trPr>
        <w:tc>
          <w:tcPr>
            <w:tcW w:w="2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38,287</w:t>
            </w:r>
          </w:p>
        </w:tc>
        <w:tc>
          <w:tcPr>
            <w:tcW w:w="1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473,123</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522,460</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522,624</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5,955,551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5,955,551</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(8,888)</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(8,888)</w:t>
            </w: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stock options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(128,267)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(1,601,290)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(1,601,290)</w:t>
            </w:r>
          </w:p>
        </w:tc>
      </w:tr>
      <w:tr>
        <w:trPr>
          <w:trHeight w:val="27"/>
        </w:trPr>
        <w:tc>
          <w:tcPr>
            <w:tcW w:w="320" w:type="dxa"/>
            <w:vAlign w:val="bottom"/>
            <w:shd w:val="clear" w:color="auto" w:fill="CCEEFF"/>
          </w:tcPr>
          <w:p>
            <w:pPr>
              <w:spacing w:after="0"/>
              <w:rPr>
                <w:sz w:val="2"/>
                <w:szCs w:val="2"/>
                <w:color w:val="auto"/>
              </w:rPr>
            </w:pPr>
          </w:p>
        </w:tc>
        <w:tc>
          <w:tcPr>
            <w:tcW w:w="1860" w:type="dxa"/>
            <w:vAlign w:val="bottom"/>
            <w:tcBorders>
              <w:right w:val="single" w:sz="8" w:color="auto"/>
            </w:tcBorders>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30,819,242</w:t>
            </w:r>
          </w:p>
        </w:tc>
        <w:tc>
          <w:tcPr>
            <w:tcW w:w="10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5,649,240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308,193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56,492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336,817,945</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(34,483,112)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223,613,313</w:t>
            </w:r>
          </w:p>
        </w:tc>
        <w:tc>
          <w:tcPr>
            <w:tcW w:w="22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9"/>
              </w:rPr>
              <w:t>$ (41,226,357) $ 485,086,474</w:t>
            </w:r>
          </w:p>
        </w:tc>
      </w:tr>
      <w:tr>
        <w:trPr>
          <w:trHeight w:val="20"/>
        </w:trPr>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Donegal Group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25,205,174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5,955,551</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other non-cash items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966,911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(2,113,378)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expenses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(28,361,486)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(1,704,647)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21,088,303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34,725,153</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(12,868,607)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(13,568,339)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(2,847,365)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(3,813,704)</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474,439</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receivable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5,926,208</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(6,697,810)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(11,033,297)</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(746,169)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(551,627)</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(6,933,651)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balances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(515,651)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(4,742,896)</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6,108,965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830,906</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(261,440)</w:t>
            </w: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661,955</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25,749,763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4,818,144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held to maturity</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(8,795,740)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(11,911,672)</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maturities, available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(37,872,046)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(46,490,362)</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 available for sale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(2,502,170)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(786,680)</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of fixed maturities: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to maturity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7,057,175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8,008,034</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23,253,617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30,922,241</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of fixed maturities: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2,995,648</w:t>
            </w: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purchases of property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of short-term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3,936,913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13,445,378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(14,922,351)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(3,817,413)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(6,037,634)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(5,578,880)</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6,599,404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561,770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(4,987,964)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11,389,182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(3,987,233)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52,925,931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23,792,273</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64,315,113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19,805,040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period -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156,292</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received during period -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DONEGAL GROUP INC.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29"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property and casualty insurance exclusively through a network of independent insurance agents in certain Mid-Atlantic, Midwestern, Southern and Southwestern states.</w:t>
      </w:r>
    </w:p>
    <w:p>
      <w:pPr>
        <w:spacing w:after="0" w:line="183"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At March 31, 2025,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58"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At March 31, 2025, Donegal Mutual held approximately 44% of our outstanding Class A common stock and approximately 84% of our outstanding Class B common stock. This ownership provides Donegal Mutual with approximately 70%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8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76"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allow the individual companies to manage certain risk segments through variations in coverage, terms and pricing.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2 -</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three months ended March 31, 2025 are not necessarily indicative of the results of operations we expect for the year ending December 31, 2025.</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recommend you read the interim financial statements we include in this Form 10-Q Report in conjunction with the financial statements and the notes to our financial statements contained in our Annual Report on Form 10-K for the year ended December 31, 2024 that we filed with the Securities and Exchange Commission (“SEC”) on March 10, 2025.</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3 -</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29" w:lineRule="exact"/>
        <w:rPr>
          <w:sz w:val="20"/>
          <w:szCs w:val="20"/>
          <w:color w:val="auto"/>
        </w:rPr>
      </w:pPr>
    </w:p>
    <w:p>
      <w:pPr>
        <w:ind w:right="100" w:firstLine="405"/>
        <w:spacing w:after="0" w:line="254" w:lineRule="auto"/>
        <w:rPr>
          <w:sz w:val="20"/>
          <w:szCs w:val="20"/>
          <w:color w:val="auto"/>
        </w:rPr>
      </w:pPr>
      <w:r>
        <w:rPr>
          <w:rFonts w:ascii="Times New Roman" w:cs="Times New Roman" w:eastAsia="Times New Roman" w:hAnsi="Times New Roman"/>
          <w:sz w:val="18"/>
          <w:szCs w:val="18"/>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A</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Class B</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20" w:type="dxa"/>
            <w:vAlign w:val="bottom"/>
            <w:gridSpan w:val="7"/>
          </w:tcPr>
          <w:p>
            <w:pPr>
              <w:jc w:val="right"/>
              <w:ind w:right="16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27,811</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Allocation of net income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27,811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effect of dilutive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Director and employee stock options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Number of shares used in diluted computation</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86"/>
        <w:spacing w:after="0" w:line="312" w:lineRule="auto"/>
        <w:rPr>
          <w:sz w:val="20"/>
          <w:szCs w:val="20"/>
          <w:color w:val="auto"/>
        </w:rPr>
      </w:pPr>
      <w:r>
        <w:rPr>
          <w:rFonts w:ascii="Times New Roman" w:cs="Times New Roman" w:eastAsia="Times New Roman" w:hAnsi="Times New Roman"/>
          <w:sz w:val="17"/>
          <w:szCs w:val="17"/>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952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16"/>
        </w:trPr>
        <w:tc>
          <w:tcPr>
            <w:tcW w:w="9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to purchase Class A shares excluded</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1,693,904</w:t>
            </w:r>
          </w:p>
        </w:tc>
      </w:tr>
      <w:tr>
        <w:trPr>
          <w:trHeight w:val="43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   Reinsurance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6"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2025:</w:t>
      </w:r>
    </w:p>
    <w:p>
      <w:pPr>
        <w:spacing w:after="0" w:line="183" w:lineRule="exact"/>
        <w:rPr>
          <w:sz w:val="20"/>
          <w:szCs w:val="20"/>
          <w:color w:val="auto"/>
        </w:rPr>
      </w:pPr>
    </w:p>
    <w:p>
      <w:pPr>
        <w:ind w:left="980" w:right="12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of loss reinsurance, under which Donegal Mutual and our insurance subsidiaries recover losses over a set retention of $4.0 million for all property losses, $6.0 million for all liability losses except workers’ compensation losses and $3.0 million for all workers’ compensation losses; and</w:t>
      </w:r>
    </w:p>
    <w:p>
      <w:pPr>
        <w:spacing w:after="0" w:line="175" w:lineRule="exact"/>
        <w:rPr>
          <w:rFonts w:ascii="Times New Roman" w:cs="Times New Roman" w:eastAsia="Times New Roman" w:hAnsi="Times New Roman"/>
          <w:sz w:val="18"/>
          <w:szCs w:val="18"/>
          <w:color w:val="auto"/>
        </w:rPr>
      </w:pPr>
    </w:p>
    <w:p>
      <w:pPr>
        <w:ind w:left="980" w:right="340" w:hanging="486"/>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 reinsurance, under which Donegal Mutual and our insurance subsidiaries recover 100% of an accumulation of many losses resulting from a single event, including natural disasters, over a set retention of $25.0 million up to aggregate losses of $200.0 million per occurrence.</w:t>
      </w:r>
    </w:p>
    <w:p>
      <w:pPr>
        <w:spacing w:after="0" w:line="176"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$69.0 million per occurrence over a set retention of $6.0 million. For workers’ compensation insurance, our insurance subsidiaries have excess of loss reinsurance that provides coverage of $17.0 million on any one life over a set retention of $3.0 million.</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87" w:lineRule="exact"/>
        <w:rPr>
          <w:sz w:val="20"/>
          <w:szCs w:val="20"/>
          <w:color w:val="auto"/>
        </w:rPr>
      </w:pPr>
    </w:p>
    <w:p>
      <w:pPr>
        <w:ind w:right="660" w:firstLine="441"/>
        <w:spacing w:after="0" w:line="282" w:lineRule="auto"/>
        <w:rPr>
          <w:sz w:val="20"/>
          <w:szCs w:val="20"/>
          <w:color w:val="auto"/>
        </w:rPr>
      </w:pPr>
      <w:r>
        <w:rPr>
          <w:rFonts w:ascii="Times New Roman" w:cs="Times New Roman" w:eastAsia="Times New Roman" w:hAnsi="Times New Roman"/>
          <w:sz w:val="18"/>
          <w:szCs w:val="18"/>
          <w:color w:val="auto"/>
        </w:rPr>
        <w:t>Southern, MICO and The Peninsula Insurance Company also have a liability reinsurance agreement with Donegal Mutual, under which each insurance subsidiary recovers up to $3.0 million per occurrence over a set retention of $3.0 million.</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Our insurance subsidiaries and Donegal Mutual also purchase facultative reinsurance to cover certain exposures, including property exposures that exceeded the limits provided by their respective treaty reinsurance.</w:t>
      </w:r>
    </w:p>
    <w:p>
      <w:pPr>
        <w:spacing w:after="0" w:line="34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order to write automobile insurance in the state of Michigan, Atlantic States, MICO and Peninsula are required to be members of the Michigan Catastrophic Claims Association (“MCCA”). The MCCA provides reinsurance to Atlantic States, MICO and Peninsula for personal automobile and commercial automobile personal injury claims in the state of Michigan over a set retention.</w:t>
      </w:r>
    </w:p>
    <w:p>
      <w:pPr>
        <w:spacing w:after="0" w:line="17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0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5 -</w:t>
      </w:r>
      <w:r>
        <w:rPr>
          <w:sz w:val="20"/>
          <w:szCs w:val="20"/>
          <w:color w:val="auto"/>
        </w:rPr>
        <w:tab/>
      </w:r>
      <w:r>
        <w:rPr>
          <w:rFonts w:ascii="Times New Roman" w:cs="Times New Roman" w:eastAsia="Times New Roman" w:hAnsi="Times New Roman"/>
          <w:sz w:val="17"/>
          <w:szCs w:val="17"/>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March 31,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3"/>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3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3"/>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86,119</w:t>
            </w:r>
          </w:p>
        </w:tc>
        <w:tc>
          <w:tcPr>
            <w:tcW w:w="1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86,170</w:t>
            </w:r>
          </w:p>
        </w:tc>
        <w:tc>
          <w:tcPr>
            <w:tcW w:w="3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79,363</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369,745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318,624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230,197</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706,098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707,449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460" w:type="dxa"/>
            <w:vAlign w:val="bottom"/>
          </w:tcPr>
          <w:p>
            <w:pPr>
              <w:spacing w:after="0"/>
              <w:rPr>
                <w:sz w:val="21"/>
                <w:szCs w:val="21"/>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(in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89,394</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86,881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38,406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205,028</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323,759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310,141</w:t>
            </w: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666,658</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At March 31, 2025, our holdings of obligations of states and political subdivisions included general obligation bonds with an aggregate fair value of $229.6 million and an amortized cost of $268.0 million. Our holdings at March 31, 2025 also included special revenue bonds with an aggregate fair value of $127.4 million and an amortized cost of $144.4 million. With respect to both categories of bonds, we held no securities of any issuer that comprised more than 10% of that category at March 31, 2025. Education bonds and water and sewer utility bonds represented 46% and 37%, respectively, of our total investments in special revenue bonds based on the carrying values of these investments at March 31, 2025. Many of the issuers of the special revenue bonds we held at March 31, 2025 have the authority to impose ad valorem taxes. In that respect, many of the special revenue bonds we held are similar to general obligation bonds.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amortized cost and estimated fair values of our fixed maturities at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3"/>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Credit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3"/>
              </w:rPr>
              <w:t>Gains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corporations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86,579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86,631</w:t>
            </w:r>
          </w:p>
        </w:tc>
        <w:tc>
          <w:tcPr>
            <w:tcW w:w="38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8,484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78,147</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372,155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318,743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237,621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224,286</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10,393</w:t>
            </w:r>
          </w:p>
        </w:tc>
        <w:tc>
          <w:tcPr>
            <w:tcW w:w="0" w:type="dxa"/>
            <w:vAlign w:val="bottom"/>
          </w:tcPr>
          <w:p>
            <w:pPr>
              <w:spacing w:after="0"/>
              <w:rPr>
                <w:sz w:val="1"/>
                <w:szCs w:val="1"/>
                <w:color w:val="auto"/>
              </w:rPr>
            </w:pPr>
          </w:p>
        </w:tc>
      </w:tr>
      <w:tr>
        <w:trPr>
          <w:trHeight w:val="256"/>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705,714</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5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76"/>
              </w:rPr>
              <w:t>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agencies</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87,514</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83,793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37,404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202,932</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312,298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293,763</w:t>
            </w: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652,565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At December 31, 2024, our holdings of obligations of states and political subdivisions included general obligation bonds with an aggregate fair value of $233.1 million and an amortized cost of $272.5 million. Our holdings also included special revenue bonds with an aggregate fair value of $123.0 million and an amortized cost of $141.3 million. With respect to both categories of bonds, we held no securities of any issuer that comprised more than 10% of that category at December 31, 2024. Education bonds and water and sewer utility bonds represented 44% and 37%, respectively, of our total investments in special revenue bonds based on their carrying values at December 31, 2024. Many of the issuers of the special revenue bonds we held at December 31, 2024 have the authority to impose ad valorem taxes. In that respect, many of the special revenue bonds we held are similar to general obligation bonds.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segregated within accumulated other comprehensive loss the net unrealized losses of $15.1 million arising prior to the November 30, 2013 reclassification date for fixed maturities reclassified from available for sale to held to maturity. We are amortizing this balance over the remaining life of the related securities as an adjustment of yield in a manner consistent with the accretion of discount on the same fixed maturities. We recorded amortization of $45,199 and $48,577 in other comprehensive income (loss) during the three months ended March 31, 2025 and 2024, respectively. At March 31, 2025 and December 31, 2024, net unrealized losses of $1.0 million remained within accumulated other comprehensive loss.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We show below the amortized cost and estimated fair value of our fixed maturities at March 31, 2025 by contractual maturity. Expected maturities may differ from contractual maturities because issuers of the securities may have the right to call or prepay obligations with or without call or prepayment penalties.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1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color w:val="auto"/>
                <w:w w:val="74"/>
              </w:rPr>
              <w:t>thousands)</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27,291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135,440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129,487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256,131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239,308</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278,050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232,197</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held to maturity</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707,449</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638,492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40,789</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40,437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157,989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153,196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115,449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24,383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323,759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310,141</w:t>
            </w:r>
          </w:p>
        </w:tc>
        <w:tc>
          <w:tcPr>
            <w:tcW w:w="0" w:type="dxa"/>
            <w:vAlign w:val="bottom"/>
          </w:tcPr>
          <w:p>
            <w:pPr>
              <w:spacing w:after="0"/>
              <w:rPr>
                <w:sz w:val="1"/>
                <w:szCs w:val="1"/>
                <w:color w:val="auto"/>
              </w:rPr>
            </w:pPr>
          </w:p>
        </w:tc>
      </w:tr>
      <w:tr>
        <w:trPr>
          <w:trHeight w:val="27"/>
        </w:trPr>
        <w:tc>
          <w:tcPr>
            <w:tcW w:w="41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available for sale</w:t>
            </w: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666,658</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640,456</w:t>
            </w:r>
          </w:p>
        </w:tc>
        <w:tc>
          <w:tcPr>
            <w:tcW w:w="0" w:type="dxa"/>
            <w:vAlign w:val="bottom"/>
          </w:tcPr>
          <w:p>
            <w:pPr>
              <w:spacing w:after="0"/>
              <w:rPr>
                <w:sz w:val="1"/>
                <w:szCs w:val="1"/>
                <w:color w:val="auto"/>
              </w:rPr>
            </w:pPr>
          </w:p>
        </w:tc>
      </w:tr>
      <w:tr>
        <w:trPr>
          <w:trHeight w:val="21"/>
        </w:trPr>
        <w:tc>
          <w:tcPr>
            <w:tcW w:w="7260" w:type="dxa"/>
            <w:vAlign w:val="bottom"/>
            <w:gridSpan w:val="5"/>
            <w:vMerge w:val="restart"/>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March 31, 2025 were as follows:</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26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28,686</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40,206</w:t>
            </w:r>
          </w:p>
        </w:tc>
        <w:tc>
          <w:tcPr>
            <w:tcW w:w="0" w:type="dxa"/>
            <w:vAlign w:val="bottom"/>
          </w:tcPr>
          <w:p>
            <w:pPr>
              <w:spacing w:after="0"/>
              <w:rPr>
                <w:sz w:val="1"/>
                <w:szCs w:val="1"/>
                <w:color w:val="auto"/>
              </w:rPr>
            </w:pPr>
          </w:p>
        </w:tc>
      </w:tr>
      <w:tr>
        <w:trPr>
          <w:trHeight w:val="432"/>
        </w:trPr>
        <w:tc>
          <w:tcPr>
            <w:tcW w:w="770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The cost and estimated fair values of our equity securities at December 31, 2024 were as follows: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Gross Gains</w:t>
            </w:r>
          </w:p>
        </w:tc>
        <w:tc>
          <w:tcPr>
            <w:tcW w:w="220" w:type="dxa"/>
            <w:vAlign w:val="bottom"/>
            <w:gridSpan w:val="2"/>
          </w:tcPr>
          <w:p>
            <w:pPr>
              <w:spacing w:after="0"/>
              <w:rPr>
                <w:sz w:val="21"/>
                <w:szCs w:val="21"/>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6"/>
              </w:rPr>
              <w:t>thousands)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24,726</w:t>
            </w:r>
          </w:p>
        </w:tc>
        <w:tc>
          <w:tcPr>
            <w:tcW w:w="4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36,808</w:t>
            </w:r>
          </w:p>
        </w:tc>
        <w:tc>
          <w:tcPr>
            <w:tcW w:w="0" w:type="dxa"/>
            <w:vAlign w:val="bottom"/>
          </w:tcPr>
          <w:p>
            <w:pPr>
              <w:spacing w:after="0"/>
              <w:rPr>
                <w:sz w:val="1"/>
                <w:szCs w:val="1"/>
                <w:color w:val="auto"/>
              </w:rPr>
            </w:pPr>
          </w:p>
        </w:tc>
      </w:tr>
      <w:tr>
        <w:trPr>
          <w:trHeight w:val="570"/>
        </w:trPr>
        <w:tc>
          <w:tcPr>
            <w:tcW w:w="4140" w:type="dxa"/>
            <w:vAlign w:val="bottom"/>
          </w:tcPr>
          <w:p>
            <w:pPr>
              <w:spacing w:after="0"/>
              <w:rPr>
                <w:sz w:val="24"/>
                <w:szCs w:val="24"/>
                <w:color w:val="auto"/>
              </w:rPr>
            </w:pPr>
          </w:p>
        </w:tc>
        <w:tc>
          <w:tcPr>
            <w:tcW w:w="1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below gross gains and losses from investments and the change in the difference between fair value and cost of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00" w:type="dxa"/>
            <w:vAlign w:val="bottom"/>
          </w:tcPr>
          <w:p>
            <w:pPr>
              <w:spacing w:after="0"/>
              <w:rPr>
                <w:sz w:val="20"/>
                <w:szCs w:val="20"/>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maturities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00" w:type="dxa"/>
            <w:vAlign w:val="bottom"/>
          </w:tcPr>
          <w:p>
            <w:pPr>
              <w:spacing w:after="0"/>
              <w:rPr>
                <w:sz w:val="18"/>
                <w:szCs w:val="18"/>
                <w:color w:val="auto"/>
              </w:rPr>
            </w:pP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unrealized gains on equity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losses on equity securities</w:t>
            </w:r>
          </w:p>
        </w:tc>
        <w:tc>
          <w:tcPr>
            <w:tcW w:w="100" w:type="dxa"/>
            <w:vAlign w:val="bottom"/>
          </w:tcPr>
          <w:p>
            <w:pPr>
              <w:spacing w:after="0"/>
              <w:rPr>
                <w:sz w:val="18"/>
                <w:szCs w:val="18"/>
                <w:color w:val="auto"/>
              </w:rPr>
            </w:pP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 - credit impairment charges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March 31, 2025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112,772</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289,182</w:t>
            </w: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55,028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304,416</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16,862</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149,315</w:t>
            </w: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14,651</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160,640</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1,991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855,685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held fixed maturities with unrealized losses representing declines that we considered temporary at December 31, 2024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10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58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w w:val="96"/>
              </w:rPr>
              <w:t>Unrealized Losses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Unrealized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10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 government corporations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37,528</w:t>
            </w:r>
          </w:p>
        </w:tc>
        <w:tc>
          <w:tcPr>
            <w:tcW w:w="112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112,322</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292,852</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57,537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311,436</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20,371</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153,960</w:t>
            </w:r>
          </w:p>
        </w:tc>
        <w:tc>
          <w:tcPr>
            <w:tcW w:w="4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17,791</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271,496</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3,941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870,570</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554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841 debt securities that were in an unrealized loss position at March 31, 2025. Based upon our analysis of general market conditions and underlying factors impacting these debt securities, we considered these declines in value to be temporary.</w:t>
      </w:r>
    </w:p>
    <w:p>
      <w:pPr>
        <w:spacing w:after="0" w:line="189"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amortize premiums and discounts on mortgage-backed debt securities using anticipated prepayments.</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6 -</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three reportable segments, which consist of our investment function, our commercial lines of insurance and our personal lines of insurance. Using independent agents, our insurance subsidiaries market commercial lines of insurance to small and medium-sized businesses and personal lines of insurance to individuals.</w:t>
      </w:r>
    </w:p>
    <w:p>
      <w:pPr>
        <w:spacing w:after="0" w:line="176"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chief operating decision maker, which is our Chief Executive Officer, evaluates the performance of the commercial lines and personal lines primarily based upon our insurance subsidiaries’ underwriting results as determined under statutory accounting principles (“SAP”). This segmentation is consistent with the segmentation we utilize to manage our business. We make resource allocation decisions based upon historical underwriting results as well as perceived opportunities for future profitable growth within each segment.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operate only in the United States, and no single customer or agent provides 10 percent or more of our revenues.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data by segment is as follows: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46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136,216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232,702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losses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segment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244,215</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245,174</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132,029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82,999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Policyholder dividends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78,193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SAP underwriting (loss)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16,915</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adjustments</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underwriting income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19,483</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losses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w w:val="96"/>
              </w:rPr>
              <w:t>Index</w:t>
            </w:r>
          </w:p>
        </w:tc>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 2024</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6"/>
                <w:szCs w:val="16"/>
                <w:color w:val="auto"/>
              </w:rPr>
            </w:pPr>
          </w:p>
        </w:tc>
        <w:tc>
          <w:tcPr>
            <w:tcW w:w="1160" w:type="dxa"/>
            <w:vAlign w:val="bottom"/>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Investments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227,749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segment revenues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132,092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95,657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240,834</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241,141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losses and loss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65,499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152,729</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54,178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30,690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84,868</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Policyholder dividends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142,463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SAP underwriting loss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(10,371)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(10,903)</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underwriting loss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(5,544)</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gains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w:t>
            </w:r>
          </w:p>
        </w:tc>
        <w:tc>
          <w:tcPr>
            <w:tcW w:w="5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20" w:type="dxa"/>
            <w:vAlign w:val="bottom"/>
            <w:vMerge w:val="continue"/>
          </w:tcPr>
          <w:p>
            <w:pPr>
              <w:spacing w:after="0"/>
              <w:rPr>
                <w:sz w:val="24"/>
                <w:szCs w:val="24"/>
                <w:color w:val="auto"/>
              </w:rPr>
            </w:pPr>
          </w:p>
        </w:tc>
        <w:tc>
          <w:tcPr>
            <w:tcW w:w="5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Lines of Credit</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60" w:firstLine="441"/>
        <w:spacing w:after="0" w:line="266" w:lineRule="auto"/>
        <w:rPr>
          <w:sz w:val="20"/>
          <w:szCs w:val="20"/>
          <w:color w:val="auto"/>
        </w:rPr>
      </w:pPr>
      <w:r>
        <w:rPr>
          <w:rFonts w:ascii="Times New Roman" w:cs="Times New Roman" w:eastAsia="Times New Roman" w:hAnsi="Times New Roman"/>
          <w:sz w:val="18"/>
          <w:szCs w:val="18"/>
          <w:color w:val="auto"/>
        </w:rPr>
        <w:t>In August 2020, we entered into a credit agreement with Manufacturers and Traders Trust Company (“M&amp;T”) that related to a $20.0 million unsecured demand line of credit. The line of credit has no expiration date, no annual fees and no covenants. At March 31, 2025, we had no outstanding borrowings from M&amp;T and had the ability to borrow up to $20.0 million at an interest rate equal to the then-current Term SOFR rate plus 2.11%.</w:t>
      </w:r>
    </w:p>
    <w:p>
      <w:pPr>
        <w:spacing w:after="0" w:line="176"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March 31, 2025. The cash advance carries a fixed interest rate of 3.806% and is due in September 2026. The table below presents the amount of FHLB of Pittsburgh stock Atlantic States purchased, collateral pledged and assets related to Atlantic States’ membership in the FHLB of Pittsburgh at March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of Pittsburgh stock purchased and owned</w:t>
            </w:r>
          </w:p>
        </w:tc>
        <w:tc>
          <w:tcPr>
            <w:tcW w:w="3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1,605,000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Collateral pledged, at par (carrying value $44,095,307)</w:t>
            </w:r>
          </w:p>
        </w:tc>
        <w:tc>
          <w:tcPr>
            <w:tcW w:w="3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46,733,730</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 capacity currently available</w:t>
            </w:r>
          </w:p>
        </w:tc>
        <w:tc>
          <w:tcPr>
            <w:tcW w:w="3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6,614,599</w:t>
            </w: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8 -</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We recorded compensation expense related to our stock compensation plans of $296,936 and $286,001 for the three months ended March 31, 2025 and 2024, respectively, with a corresponding income tax benefit of $62,357 and $60,060, respectively. At March 31, 2025, we had $1.5 million of unrecognized compensation expense related to nonvested share-based compensation granted under our stock compensation plans that we expect to recognize over a weighted average period of approximately 1.8 years.</w:t>
      </w:r>
    </w:p>
    <w:p>
      <w:pPr>
        <w:spacing w:after="0" w:line="180"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We received cash from option exercises under all stock compensation plans during the three months ended March 31, 2025 and 2024 of $6.3 million and $236,624, respectively. We realized actual tax benefits for the tax deductions related to those option exercises of $300,981 and $1,719 for the three months ended March 31, 2025 and 2024, respectively.</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9 -</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2 – directly or indirectly observable inputs other than Level 1 quoted prices; 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not corroborated by market data.</w:t>
      </w:r>
    </w:p>
    <w:p>
      <w:pPr>
        <w:spacing w:after="0" w:line="225"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March 31, 2025, we received two estimates per security from the pricing services, and we priced substantially all of our Level 1 and Level 2 investments using those prices. In our review of the estimates the pricing services provided at March 31, 2025, we did not identify any material discrepancies, and we did not make any adjustments to the estimates the pricing services provided.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our cash and short-term investments at estimated fair value. We classify these items as Level 1.</w:t>
      </w:r>
    </w:p>
    <w:p>
      <w:pPr>
        <w:spacing w:after="0" w:line="225"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The carrying values in our balance sheet for premium receivables, reinsurance receivables related to paid losses and loss expenses and reinsurance balances payable approximate their fair values. The carrying amounts reported in the balance sheet for our borrowings under lines of credit approximate their fair values. We classify these items as Level 3.</w:t>
      </w:r>
    </w:p>
    <w:p>
      <w:pPr>
        <w:spacing w:after="0" w:line="176" w:lineRule="exact"/>
        <w:rPr>
          <w:sz w:val="20"/>
          <w:szCs w:val="20"/>
          <w:color w:val="auto"/>
        </w:rPr>
      </w:pPr>
    </w:p>
    <w:p>
      <w:pPr>
        <w:ind w:right="140" w:firstLine="441"/>
        <w:spacing w:after="0" w:line="266" w:lineRule="auto"/>
        <w:rPr>
          <w:sz w:val="20"/>
          <w:szCs w:val="20"/>
          <w:color w:val="auto"/>
        </w:rPr>
      </w:pPr>
      <w:r>
        <w:rPr>
          <w:rFonts w:ascii="Times New Roman" w:cs="Times New Roman" w:eastAsia="Times New Roman" w:hAnsi="Times New Roman"/>
          <w:sz w:val="18"/>
          <w:szCs w:val="18"/>
          <w:color w:val="auto"/>
        </w:rPr>
        <w:t>We evaluate our assets and liabilities on a regular basis to determine the appropriate level at which to classify them for each reporting period. Based on our review of the methodology and summary of inputs the pricing services use, we have concluded that our Level 1 and Level 2 investments were classified properly at March 31, 2025 and December 31, 2024.</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U.S.government corporations and</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38,406</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38,406</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205,028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310,141</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40,206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38,106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investments in the fair value hierarchy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38,106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642,556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measurements for our investments in available-for-sale fixed maturity and equity securities at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6"/>
                <w:szCs w:val="16"/>
                <w:color w:val="auto"/>
              </w:rPr>
            </w:pPr>
          </w:p>
        </w:tc>
        <w:tc>
          <w:tcPr>
            <w:tcW w:w="130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(in</w:t>
            </w:r>
          </w:p>
        </w:tc>
        <w:tc>
          <w:tcPr>
            <w:tcW w:w="14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w w:val="81"/>
              </w:rPr>
              <w:t>thousands)</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U.S. Treasury securities and obligations of U.S.government corporations and</w:t>
            </w: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83,793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37,404</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37,404</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202,932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293,763</w:t>
            </w:r>
          </w:p>
        </w:tc>
        <w:tc>
          <w:tcPr>
            <w:tcW w:w="12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293,763</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36,808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34,708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654,700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34,708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619,992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8"/>
        </w:trPr>
        <w:tc>
          <w:tcPr>
            <w:tcW w:w="556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16</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38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10 -</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At March 31, 2025 and December 31, 2024,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$7.6 million for our net state operating loss carryforward, which will expire between 2025 and 2044. We have determined that we are not required to establish a valuation allowance for our other deferred tax assets of $36.0 million and $37.5 million at March 31, 2025 and December 31, 2024, respectively, because it is more likely than not that we will realize these deferred tax assets through reversals of existing temporary differences, future taxable income and the implementation of tax planning strategies.</w:t>
      </w:r>
    </w:p>
    <w:p>
      <w:pPr>
        <w:spacing w:after="0" w:line="18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11 -</w:t>
      </w:r>
      <w:r>
        <w:rPr>
          <w:sz w:val="20"/>
          <w:szCs w:val="20"/>
          <w:color w:val="auto"/>
        </w:rPr>
        <w:tab/>
      </w:r>
      <w:r>
        <w:rPr>
          <w:rFonts w:ascii="Times New Roman" w:cs="Times New Roman" w:eastAsia="Times New Roman" w:hAnsi="Times New Roman"/>
          <w:sz w:val="17"/>
          <w:szCs w:val="17"/>
          <w:b w:val="1"/>
          <w:bCs w:val="1"/>
          <w:color w:val="auto"/>
        </w:rPr>
        <w:t>Liabilities for Losses and Loss Expenses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We summarize activity in our insurance subsidiaries’ liabilities for losses and loss expenses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1,126,157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(416,621)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(437,014)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at January 1</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159,289</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(10,513)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47,886</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24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97,274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98,197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balance at end of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693,956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430,496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1,092,624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1,124,452</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Our insurance subsidiaries recognized a decrease in their liabilities for losses and loss expenses of prior years of $10.5 million and $8.4 million for the three months ended March 31, 2025 and 2024,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2025 development represented 1.5% of the December 31, 2024 net carried reserves and resulted from lower-than-expected loss emergence or severity primarily in the commercial automobile, commercial multi-peril and personal automobile lines of business. The majority of the 2025 development related to decreases in the liabilities for losses and loss expenses of prior years for Atlantic States and MICO. The 2024 development represented 1.2% of the December 31, 2023 net carried reserves and resulted from lower-than-expected loss emergence or severity primarily in the commercial multi-peril, commercial automobile and homeowners lines of business. The majority of the 2024 development related to decreases in the liabilities for losses and loss expenses of prior years for Atlantic States and MICO.</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41"/>
        <w:spacing w:after="0" w:line="261" w:lineRule="auto"/>
        <w:rPr>
          <w:sz w:val="20"/>
          <w:szCs w:val="20"/>
          <w:color w:val="auto"/>
        </w:rPr>
      </w:pPr>
      <w:r>
        <w:rPr>
          <w:rFonts w:ascii="Times New Roman" w:cs="Times New Roman" w:eastAsia="Times New Roman" w:hAnsi="Times New Roman"/>
          <w:sz w:val="18"/>
          <w:szCs w:val="18"/>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80"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three months ended March 31, 2025.</w:t>
      </w:r>
    </w:p>
    <w:p>
      <w:pPr>
        <w:spacing w:after="0" w:line="187"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8"/>
          <w:szCs w:val="18"/>
          <w:i w:val="1"/>
          <w:iCs w:val="1"/>
          <w:color w:val="auto"/>
        </w:rPr>
        <w:t>a priori</w:t>
      </w:r>
      <w:r>
        <w:rPr>
          <w:rFonts w:ascii="Times New Roman" w:cs="Times New Roman" w:eastAsia="Times New Roman" w:hAnsi="Times New Roman"/>
          <w:sz w:val="18"/>
          <w:szCs w:val="18"/>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83"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6"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80"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on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8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12 -</w:t>
      </w:r>
      <w:r>
        <w:rPr>
          <w:sz w:val="20"/>
          <w:szCs w:val="20"/>
          <w:color w:val="auto"/>
        </w:rPr>
        <w:tab/>
      </w:r>
      <w:r>
        <w:rPr>
          <w:rFonts w:ascii="Times New Roman" w:cs="Times New Roman" w:eastAsia="Times New Roman" w:hAnsi="Times New Roman"/>
          <w:sz w:val="17"/>
          <w:szCs w:val="17"/>
          <w:b w:val="1"/>
          <w:bCs w:val="1"/>
          <w:color w:val="auto"/>
        </w:rPr>
        <w:t>Allowance for Expected Credit Losses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Held-to-Maturity Fixed-Maturity Securities</w:t>
      </w:r>
    </w:p>
    <w:p>
      <w:pPr>
        <w:spacing w:after="0" w:line="22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80"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fixed maturities classified as held-to-maturity, net of the allowance for expected credit losses, at March 31, 2025 and 2024 and changes in the allowance for expected credit losses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At and For the Three Months</w:t>
            </w:r>
          </w:p>
        </w:tc>
      </w:tr>
      <w:tr>
        <w:trPr>
          <w:trHeight w:val="245"/>
        </w:trPr>
        <w:tc>
          <w:tcPr>
            <w:tcW w:w="5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Ended March 31, 2025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 March 31, 2024</w:t>
            </w:r>
          </w:p>
        </w:tc>
      </w:tr>
      <w:tr>
        <w:trPr>
          <w:trHeight w:val="194"/>
        </w:trPr>
        <w:tc>
          <w:tcPr>
            <w:tcW w:w="5540" w:type="dxa"/>
            <w:vAlign w:val="bottom"/>
          </w:tcPr>
          <w:p>
            <w:pPr>
              <w:spacing w:after="0"/>
              <w:rPr>
                <w:sz w:val="16"/>
                <w:szCs w:val="16"/>
                <w:color w:val="auto"/>
              </w:rPr>
            </w:pPr>
          </w:p>
        </w:tc>
        <w:tc>
          <w:tcPr>
            <w:tcW w:w="1480" w:type="dxa"/>
            <w:vAlign w:val="bottom"/>
            <w:tcBorders>
              <w:top w:val="single" w:sz="8" w:color="auto"/>
            </w:tcBorders>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Held-to-Maturity,</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54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80" w:type="dxa"/>
            <w:vAlign w:val="bottom"/>
          </w:tcPr>
          <w:p>
            <w:pPr>
              <w:spacing w:after="0"/>
              <w:rPr>
                <w:sz w:val="18"/>
                <w:szCs w:val="18"/>
                <w:color w:val="auto"/>
              </w:rPr>
            </w:pPr>
          </w:p>
        </w:tc>
        <w:tc>
          <w:tcPr>
            <w:tcW w:w="15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of Allowance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2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55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705,714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679,497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w:t>
            </w:r>
          </w:p>
        </w:tc>
      </w:tr>
      <w:tr>
        <w:trPr>
          <w:trHeight w:val="217"/>
        </w:trPr>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706,098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683,399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Receivable</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for reinsurance receivable, net of the allowance for expected credit losses, at March 31, 2025 and 2024, and the changes in the allowance for expected credit losses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c>
          <w:tcPr>
            <w:tcW w:w="100" w:type="dxa"/>
            <w:vAlign w:val="bottom"/>
          </w:tcPr>
          <w:p>
            <w:pPr>
              <w:spacing w:after="0"/>
              <w:rPr>
                <w:sz w:val="18"/>
                <w:szCs w:val="18"/>
                <w:color w:val="auto"/>
              </w:rPr>
            </w:pPr>
          </w:p>
        </w:tc>
        <w:tc>
          <w:tcPr>
            <w:tcW w:w="25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 and For the Three Months</w:t>
            </w:r>
          </w:p>
        </w:tc>
      </w:tr>
      <w:tr>
        <w:trPr>
          <w:trHeight w:val="245"/>
        </w:trPr>
        <w:tc>
          <w:tcPr>
            <w:tcW w:w="4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4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Ended March 31, 2025</w:t>
            </w:r>
          </w:p>
        </w:tc>
        <w:tc>
          <w:tcPr>
            <w:tcW w:w="100" w:type="dxa"/>
            <w:vAlign w:val="bottom"/>
          </w:tcPr>
          <w:p>
            <w:pPr>
              <w:spacing w:after="0"/>
              <w:rPr>
                <w:sz w:val="21"/>
                <w:szCs w:val="21"/>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 March 31, 2024</w:t>
            </w:r>
          </w:p>
        </w:tc>
      </w:tr>
      <w:tr>
        <w:trPr>
          <w:trHeight w:val="194"/>
        </w:trPr>
        <w:tc>
          <w:tcPr>
            <w:tcW w:w="4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Reinsurance</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Receivable, Net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Receivable, Net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of Allowance</w:t>
            </w:r>
          </w:p>
        </w:tc>
        <w:tc>
          <w:tcPr>
            <w:tcW w:w="120" w:type="dxa"/>
            <w:vAlign w:val="bottom"/>
          </w:tcPr>
          <w:p>
            <w:pPr>
              <w:spacing w:after="0"/>
              <w:rPr>
                <w:sz w:val="18"/>
                <w:szCs w:val="18"/>
                <w:color w:val="auto"/>
              </w:rPr>
            </w:pPr>
          </w:p>
        </w:tc>
        <w:tc>
          <w:tcPr>
            <w:tcW w:w="12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of Allowance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16"/>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3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Expected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Expected</w:t>
            </w:r>
          </w:p>
        </w:tc>
      </w:tr>
      <w:tr>
        <w:trPr>
          <w:trHeight w:val="245"/>
        </w:trPr>
        <w:tc>
          <w:tcPr>
            <w:tcW w:w="45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220" w:type="dxa"/>
            <w:vAlign w:val="bottom"/>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Pr>
          <w:p>
            <w:pPr>
              <w:spacing w:after="0"/>
              <w:rPr>
                <w:sz w:val="21"/>
                <w:szCs w:val="21"/>
                <w:color w:val="auto"/>
              </w:rPr>
            </w:pPr>
          </w:p>
        </w:tc>
      </w:tr>
      <w:tr>
        <w:trPr>
          <w:trHeight w:val="216"/>
        </w:trPr>
        <w:tc>
          <w:tcPr>
            <w:tcW w:w="4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420,742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441,431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1,394</w:t>
            </w:r>
          </w:p>
        </w:tc>
      </w:tr>
      <w:tr>
        <w:trPr>
          <w:trHeight w:val="216"/>
        </w:trPr>
        <w:tc>
          <w:tcPr>
            <w:tcW w:w="4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3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403,382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5"/>
              </w:rPr>
              <w:t>435,505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520" w:type="dxa"/>
            <w:vAlign w:val="bottom"/>
          </w:tcPr>
          <w:p>
            <w:pPr>
              <w:spacing w:after="0"/>
              <w:rPr>
                <w:sz w:val="24"/>
                <w:szCs w:val="24"/>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13 -</w:t>
      </w:r>
      <w:r>
        <w:rPr>
          <w:sz w:val="20"/>
          <w:szCs w:val="20"/>
          <w:color w:val="auto"/>
        </w:rPr>
        <w:tab/>
      </w:r>
      <w:r>
        <w:rPr>
          <w:rFonts w:ascii="Times New Roman" w:cs="Times New Roman" w:eastAsia="Times New Roman" w:hAnsi="Times New Roman"/>
          <w:sz w:val="17"/>
          <w:szCs w:val="17"/>
          <w:b w:val="1"/>
          <w:bCs w:val="1"/>
          <w:color w:val="auto"/>
        </w:rPr>
        <w:t>Impact of New Accounting Standards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to enhance the transparency and usefulness of income tax disclosures. The guidance requires disclosure of specific categories in the rate reconciliation table and additional information for reconciling items that meet a quantitative threshold of equal to or greater than 5 percent of the amount computed by multiplying pretax income or loss by the applicable statutory income tax rate. The guidance also requires disaggregated disclosure of the amount of income taxes paid for federal, state and foreign taxes. The guidance is effective for annual reporting periods beginning after December 15, 2024. The adoption of this guidance will not have an impact on our financial position, results of operations or cash flows.</w:t>
      </w:r>
    </w:p>
    <w:p>
      <w:pPr>
        <w:spacing w:after="0" w:line="187"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guidance requiring disaggregated disclosure of income statement expenses in the notes to financial statements. The guidance requires disclosure of certain expenses, including employee compensation, depreciation and selling expenses. The guidance will not impact current income statement expense captions that industry-specific guidance requires. The guidance is effective for annual and interim reporting periods beginning after December 15, 2026. The adoption of this guidance will not have an impact on our financial position, results of operations or cash flows.</w:t>
      </w: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We combine our financial statements with those of our insurance subsidiaries and present them on a consolidated basis in accordance with United States generally accepted accounting principles (“GAAP”).</w:t>
      </w:r>
    </w:p>
    <w:p>
      <w:pPr>
        <w:spacing w:after="0" w:line="162"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Our insurance subsidiaries make estimates and assumptions that can have a significant effect on amounts and disclosures we report in our financial statements. The most significant estimates relate to the reserves of our insurance subsidiaries for property and casualty insurance unpaid losses and loss expenses. While we believe our estimates and the estimates of our insurance subsidiaries are appropriate, the ultimate amounts may differ from the estimates we provided. We regularly review our methods for making these estimates and we reflect any adjustment we consider necessary in our results of operations for the period in which we make an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for Losses and Loss Expenses</w:t>
      </w:r>
    </w:p>
    <w:p>
      <w:pPr>
        <w:spacing w:after="0" w:line="2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8"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new and used automobile values, increases in the cost of replacement automobile parts and rising labor rates. These trend changes caused significant disruption to historical loss patterns and give rise to greater uncertainty as to the pattern of future loss settlements. Related uncertainties regarding future trends include social inflation, availability and cost of replacement automobile parts and building materials, availability and cost of skilled labor, the rate of specialized plaintiff attorney involvement in claims, plaintiff attorney utilization of litigation financing and the cost of medical technologies and procedures. While we did not see a material impact in the first quarter of 2025, we are monitoring the impact of tariffs and other inflationary factors, which may result in increases in loss costs in the future.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March 31, 2025. For every 1% change in our insurance subsidiaries’ loss and loss expense reserves, net of reinsurance recoverable, the effect on our pre-tax results of operations would be approximately $7.0 million.</w:t>
      </w:r>
    </w:p>
    <w:p>
      <w:pPr>
        <w:spacing w:after="0" w:line="191"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92"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increased property and automobile repair and replacement costs, rising medical loss costs and increased litigation trends and lengthening of repair completion times for property and automobile claims.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88"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Atlantic States’ participation in the underwriting pool with Donegal Mutual exposes Atlantic States to adverse loss development on the business that Donegal Mutual contributes to the underwriting pool. However, pooled business represents the predominant percentage of the net underwriting activity of both companies, and Donegal Mutual and Atlantic States share proportionately any adverse risk development relating to the pooled business. The business in the underwriting pool is homogeneous and each company has a pro-rata share of the entire underwriting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Our insurance subsidiaries’ liabilities for losses and loss expenses by major line of business at March 31, 2025 and December 31, 2024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12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208,676</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39,389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39,336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commercial lines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558,175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116,693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12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25,760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personal lines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146,189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696,197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Plus reinsurance recoverable</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416,621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for losses and loss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Adjusted Loss and Loss</w:t>
            </w:r>
          </w:p>
        </w:tc>
        <w:tc>
          <w:tcPr>
            <w:tcW w:w="23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 Loss and Loss</w:t>
            </w:r>
          </w:p>
        </w:tc>
        <w:tc>
          <w:tcPr>
            <w:tcW w:w="2320" w:type="dxa"/>
            <w:vAlign w:val="bottom"/>
          </w:tcPr>
          <w:p>
            <w:pPr>
              <w:spacing w:after="0"/>
              <w:rPr>
                <w:sz w:val="24"/>
                <w:szCs w:val="24"/>
                <w:color w:val="auto"/>
              </w:rPr>
            </w:pP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 in Loss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 Reserves Net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Change</w:t>
            </w: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Loss Expense Reserves</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Stockholders’ Equity at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Reinsurance at</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Stockholders’ Equity at</w:t>
            </w:r>
          </w:p>
        </w:tc>
      </w:tr>
      <w:tr>
        <w:trPr>
          <w:trHeight w:val="245"/>
        </w:trPr>
        <w:tc>
          <w:tcPr>
            <w:tcW w:w="3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Net of Reinsurance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March 31, 2025(1)</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2024(1)</w:t>
            </w:r>
          </w:p>
        </w:tc>
      </w:tr>
      <w:tr>
        <w:trPr>
          <w:trHeight w:val="216"/>
        </w:trPr>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(dollars in thousands)</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$626,577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$633,928</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643,982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651,537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661,387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669,146</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678,792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686,755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Base</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696,197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704,364</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713,602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721,973</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731,007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739,582</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748,412</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757,191</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2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765,817</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(9.4)</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774,800</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0712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94" w:lineRule="exact"/>
        <w:rPr>
          <w:sz w:val="20"/>
          <w:szCs w:val="20"/>
          <w:color w:val="auto"/>
        </w:rPr>
      </w:pPr>
    </w:p>
    <w:p>
      <w:pPr>
        <w:ind w:right="8960" w:firstLine="8"/>
        <w:spacing w:after="0" w:line="500" w:lineRule="auto"/>
        <w:tabs>
          <w:tab w:leader="none" w:pos="4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effect. Non-GAAP Information</w:t>
      </w:r>
    </w:p>
    <w:p>
      <w:pPr>
        <w:spacing w:after="0" w:line="2"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83"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Premiums Written</w:t>
      </w:r>
    </w:p>
    <w:p>
      <w:pPr>
        <w:spacing w:after="0" w:line="227"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premiums earned to our net premiums written for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96,486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232,702</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24,402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(10,012)</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3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160,618</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50"/>
        </w:trPr>
        <w:tc>
          <w:tcPr>
            <w:tcW w:w="4020" w:type="dxa"/>
            <w:vAlign w:val="bottom"/>
          </w:tcPr>
          <w:p>
            <w:pPr>
              <w:spacing w:after="0"/>
              <w:rPr>
                <w:sz w:val="24"/>
                <w:szCs w:val="24"/>
                <w:color w:val="auto"/>
              </w:rPr>
            </w:pPr>
          </w:p>
        </w:tc>
        <w:tc>
          <w:tcPr>
            <w:tcW w:w="3300" w:type="dxa"/>
            <w:vAlign w:val="bottom"/>
          </w:tcPr>
          <w:p>
            <w:pPr>
              <w:jc w:val="right"/>
              <w:ind w:right="153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premiums earned to our net premiums written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Personal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Lines</w:t>
            </w:r>
          </w:p>
        </w:tc>
        <w:tc>
          <w:tcPr>
            <w:tcW w:w="160" w:type="dxa"/>
            <w:vAlign w:val="bottom"/>
          </w:tcPr>
          <w:p>
            <w:pPr>
              <w:spacing w:after="0"/>
              <w:rPr>
                <w:sz w:val="21"/>
                <w:szCs w:val="21"/>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Lines</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227,749</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23,402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23,693</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written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Statutory Combined Ratio</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statutory combined ratio is a non-GAAP financial measure that is based upon amounts determined under SAP. We calculate our statutory combined ratio as the sum of:</w:t>
      </w:r>
    </w:p>
    <w:p>
      <w:pPr>
        <w:spacing w:after="0" w:line="162" w:lineRule="exact"/>
        <w:rPr>
          <w:sz w:val="20"/>
          <w:szCs w:val="20"/>
          <w:color w:val="auto"/>
        </w:rPr>
      </w:pP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loss ratio, which is the ratio of calendar-year net incurred losses and loss expenses to net premiums earned;</w:t>
      </w:r>
    </w:p>
    <w:p>
      <w:pPr>
        <w:spacing w:after="0" w:line="27" w:lineRule="exact"/>
        <w:rPr>
          <w:rFonts w:ascii="Times New Roman" w:cs="Times New Roman" w:eastAsia="Times New Roman" w:hAnsi="Times New Roman"/>
          <w:sz w:val="18"/>
          <w:szCs w:val="18"/>
          <w:color w:val="auto"/>
        </w:rPr>
      </w:pPr>
    </w:p>
    <w:p>
      <w:pPr>
        <w:ind w:left="700" w:right="20" w:hanging="328"/>
        <w:spacing w:after="0" w:line="250"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expense ratio, which is the ratio of expenses incurred for net commissions, premium taxes and underwriting expenses to net premiums written; and</w:t>
      </w:r>
    </w:p>
    <w:p>
      <w:pPr>
        <w:ind w:left="700" w:hanging="328"/>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dividend ratio, which is the ratio of dividends to holders of workers’ compensation policies to net premiums earned.</w:t>
      </w:r>
    </w:p>
    <w:p>
      <w:pPr>
        <w:spacing w:after="0" w:line="20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Ratios</w:t>
      </w:r>
    </w:p>
    <w:p>
      <w:pPr>
        <w:spacing w:after="0" w:line="22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presents comparative details with respect to our GAAP and statutory combined ratios for the three months ended March 31, 2025 and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92"/>
        </w:trPr>
        <w:tc>
          <w:tcPr>
            <w:tcW w:w="320" w:type="dxa"/>
            <w:vAlign w:val="bottom"/>
            <w:tcBorders>
              <w:top w:val="single" w:sz="8" w:color="0000EE"/>
            </w:tcBorders>
          </w:tcPr>
          <w:p>
            <w:pPr>
              <w:spacing w:after="0"/>
              <w:rPr>
                <w:sz w:val="24"/>
                <w:szCs w:val="24"/>
                <w:color w:val="auto"/>
              </w:rPr>
            </w:pPr>
          </w:p>
        </w:tc>
        <w:tc>
          <w:tcPr>
            <w:tcW w:w="4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6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3"/>
        </w:trPr>
        <w:tc>
          <w:tcPr>
            <w:tcW w:w="3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GAAP Combined Ratios (Total Lines)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core losses</w:t>
            </w:r>
          </w:p>
        </w:tc>
        <w:tc>
          <w:tcPr>
            <w:tcW w:w="55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 - weather-related losses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 - large fire losses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 - net prior-year reserve development</w:t>
            </w:r>
          </w:p>
        </w:tc>
        <w:tc>
          <w:tcPr>
            <w:tcW w:w="5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4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4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ratio</w:t>
            </w:r>
          </w:p>
        </w:tc>
        <w:tc>
          <w:tcPr>
            <w:tcW w:w="4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102.4%</w:t>
            </w:r>
          </w:p>
        </w:tc>
      </w:tr>
      <w:tr>
        <w:trPr>
          <w:trHeight w:val="21"/>
        </w:trPr>
        <w:tc>
          <w:tcPr>
            <w:tcW w:w="3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Statutory Combined Ratios</w:t>
            </w:r>
          </w:p>
        </w:tc>
        <w:tc>
          <w:tcPr>
            <w:tcW w:w="4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lines:</w:t>
            </w: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r>
      <w:tr>
        <w:trPr>
          <w:trHeight w:val="216"/>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Workers’ compensation</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multi-peril</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32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lines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lines:</w:t>
            </w:r>
          </w:p>
        </w:tc>
        <w:tc>
          <w:tcPr>
            <w:tcW w:w="4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Automobile</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r>
      <w:tr>
        <w:trPr>
          <w:trHeight w:val="216"/>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Homeowners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320" w:type="dxa"/>
            <w:vAlign w:val="bottom"/>
            <w:shd w:val="clear" w:color="auto" w:fill="CCEEFF"/>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personal lines</w:t>
            </w:r>
          </w:p>
        </w:tc>
        <w:tc>
          <w:tcPr>
            <w:tcW w:w="5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100.3</w:t>
            </w:r>
          </w:p>
        </w:tc>
      </w:tr>
      <w:tr>
        <w:trPr>
          <w:trHeight w:val="234"/>
        </w:trPr>
        <w:tc>
          <w:tcPr>
            <w:tcW w:w="320" w:type="dxa"/>
            <w:vAlign w:val="bottom"/>
          </w:tcPr>
          <w:p>
            <w:pPr>
              <w:spacing w:after="0"/>
              <w:rPr>
                <w:sz w:val="20"/>
                <w:szCs w:val="20"/>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and personal lines</w:t>
            </w:r>
          </w:p>
        </w:tc>
        <w:tc>
          <w:tcPr>
            <w:tcW w:w="5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w:t>
            </w:r>
          </w:p>
        </w:tc>
      </w:tr>
      <w:tr>
        <w:trPr>
          <w:trHeight w:val="552"/>
        </w:trPr>
        <w:tc>
          <w:tcPr>
            <w:tcW w:w="3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20" w:type="dxa"/>
            <w:vAlign w:val="bottom"/>
          </w:tcPr>
          <w:p>
            <w:pPr>
              <w:jc w:val="right"/>
              <w:ind w:right="2811"/>
              <w:spacing w:after="0"/>
              <w:rPr>
                <w:sz w:val="20"/>
                <w:szCs w:val="20"/>
                <w:color w:val="auto"/>
              </w:rPr>
            </w:pPr>
            <w:r>
              <w:rPr>
                <w:rFonts w:ascii="Times New Roman" w:cs="Times New Roman" w:eastAsia="Times New Roman" w:hAnsi="Times New Roman"/>
                <w:sz w:val="14"/>
                <w:szCs w:val="14"/>
                <w:color w:val="auto"/>
              </w:rPr>
              <w:t>26</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4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2025 Compared to Three Months Ended March 31, 2024</w:t>
      </w:r>
    </w:p>
    <w:p>
      <w:pPr>
        <w:spacing w:after="0" w:line="227"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Premiums Earned. </w:t>
      </w:r>
      <w:r>
        <w:rPr>
          <w:rFonts w:ascii="Times New Roman" w:cs="Times New Roman" w:eastAsia="Times New Roman" w:hAnsi="Times New Roman"/>
          <w:sz w:val="18"/>
          <w:szCs w:val="18"/>
          <w:color w:val="auto"/>
        </w:rPr>
        <w:t>Our insurance subsidiaries’ net premiums earned for the first quarter of 2025 were $232.7 million, an increase of $5.0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2.2%, compared to $227.7 million for the first quarter of 2024, primarily reflecting solid premium retention and renewal premium increases.</w:t>
      </w:r>
    </w:p>
    <w:p>
      <w:pPr>
        <w:spacing w:after="0" w:line="158" w:lineRule="exact"/>
        <w:rPr>
          <w:sz w:val="20"/>
          <w:szCs w:val="20"/>
          <w:color w:val="auto"/>
        </w:rPr>
      </w:pPr>
    </w:p>
    <w:p>
      <w:pPr>
        <w:ind w:right="40" w:firstLine="445"/>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Net Premiums Written. </w:t>
      </w:r>
      <w:r>
        <w:rPr>
          <w:rFonts w:ascii="Times New Roman" w:cs="Times New Roman" w:eastAsia="Times New Roman" w:hAnsi="Times New Roman"/>
          <w:sz w:val="17"/>
          <w:szCs w:val="17"/>
          <w:color w:val="auto"/>
        </w:rPr>
        <w:t>Our insurance subsidiaries’ net premiums written for the first quarter of 2025 were $247.1 million, a decrease of $4.4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1.7%, from the $251.4 million of net premiums written for the first quarter of 2024. Commercial lines net premiums written increased $5.1 million, or</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3.3%, for the first quarter of 2025 compared to the first quarter of 2024. Personal lines net premiums written decreased $9.5 million, or 9.9%, for the first quarter of 2025 compared to the first quarter of 2024. We attribute the increase in commercial lines net premiums written primarily to solid retention and a continuation of renewal premium increases in lines other than workers’ compensation, offset partially by lower new business writings. We attribute the decrease in personal lines net premiums written primarily to planned attrition due to lower new business writings and non-renewal actions, offset partially by a continuation of renewal premium rate increases and solid retention.</w:t>
      </w:r>
    </w:p>
    <w:p>
      <w:pPr>
        <w:spacing w:after="0" w:line="185" w:lineRule="exact"/>
        <w:rPr>
          <w:sz w:val="20"/>
          <w:szCs w:val="20"/>
          <w:color w:val="auto"/>
        </w:rPr>
      </w:pPr>
    </w:p>
    <w:p>
      <w:pPr>
        <w:jc w:val="both"/>
        <w:ind w:right="30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Our net investment income was $12.0 million for the first quarter of 2025, an increase of $1.0 million, or 9.2%,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$11.0 million for the first quarter of 2024. We attribute the increase primarily to an increase in the average investment yield and higher average invested assets relative to the first quarter of 2024.</w:t>
      </w:r>
    </w:p>
    <w:p>
      <w:pPr>
        <w:spacing w:after="0" w:line="17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Investment (Losses) Gains. </w:t>
      </w:r>
      <w:r>
        <w:rPr>
          <w:rFonts w:ascii="Times New Roman" w:cs="Times New Roman" w:eastAsia="Times New Roman" w:hAnsi="Times New Roman"/>
          <w:sz w:val="18"/>
          <w:szCs w:val="18"/>
          <w:color w:val="auto"/>
        </w:rPr>
        <w:t>Net investment losses for the first quarter of 2025 were $470,861, compared to net investment gains of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first quarter of 2024. The net investment losses for the first quarter of 2025 resulted primarily from the net change in unrealized gains and losses within our equity securities portfolio at March 31, 2025. We did not recognize any impairment losses for individual securities in our investment portfolio during the first quarter of 2025 or 2024.</w:t>
      </w:r>
    </w:p>
    <w:p>
      <w:pPr>
        <w:spacing w:after="0" w:line="180"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Losses and Loss Expenses. </w:t>
      </w:r>
      <w:r>
        <w:rPr>
          <w:rFonts w:ascii="Times New Roman" w:cs="Times New Roman" w:eastAsia="Times New Roman" w:hAnsi="Times New Roman"/>
          <w:sz w:val="18"/>
          <w:szCs w:val="18"/>
          <w:color w:val="auto"/>
        </w:rPr>
        <w:t>Our insurance subsidiaries’ loss ratio, which is the ratio of incurred losses and loss expenses to premiums earned,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56.7% for the first quarter of 2025, a decrease from our insurance subsidiaries’ loss ratio of 66.3% for the first quarter of 2024. We attribute this decrease primarily to decreased core losses and large fire losses, which we define as individual fire losses in excess of $50,000. The core loss ratio, which excludes weather-related losses, large fire losses and net favorable development of reserves for losses incurred in prior accident years, was 54.2% for the first quarter of 2025, compared to 58.7% for the first quarter of 2024. For the commercial lines segment, the core loss ratio of 58.3% for the first quarter of 2025 decreased modestly from 59.0% for the first quarter of 2024. For the personal lines segment, the core loss ratio of 48.7% for the first quarter of 2025 decreased significantly from 58.1% for the first quarter of 2024, due largely to the favorable impact of ongoing premium rate increases on net premiums earned for that segment. Weather-related losses were $8.6 million, or 3.7 percentage points of the loss ratio, for the first quarter of 2025, compared to $10.8 million, or 4.7 percentage points of the loss ratio, for the first quarter of 2024. The impact of weather-related loss activity to the loss ratio for the first quarter of 2025 was modestly lower than our previous five-year first-quarter average of 4.6 percentage points of the loss ratio. Large fire losses for the first quarter of 2025 were $7.7 million, or 3.3 percentage points of the loss ratio, compared to $15.0 million, or 6.6 percentage points of the loss ratio, for the first quarter of 2024. Our insurance subsidiaries’ commercial lines loss ratio was 59.7% for the first quarter of 2025, compared to 65.4% for the first quarter of 2024, primarily due to decreases in commercial multi-peril and commercial automobile loss ratios, offset by an increase in the workers’ compensation loss ratio. The personal lines loss ratio of our insurance subsidiaries decreased to 52.5% for the first quarter of 2025, compared to 67.6% for the first quarter of 2024. We attribute this decrease primarily to decreases in the homeowners and personal automobile loss ratios. Our insurance subsidiaries experienced favorable loss reserve development for the first quarter of 2025 of approximately $10.5 million that decreased the loss ratio by 4.5 percentage points, compared to $8.4 million that decreased the loss ratio for the first quarter of 2024 by 3.7 percentage points. Our insurance subsidiaries experienced favorable development primarily in the commercial automobile, commercial multi-peril and personal automobile lines of business, offset partially by modest unfavorable development in workers’ compensation for the first quarter of 2025.</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Underwriting Expenses. </w:t>
      </w:r>
      <w:r>
        <w:rPr>
          <w:rFonts w:ascii="Times New Roman" w:cs="Times New Roman" w:eastAsia="Times New Roman" w:hAnsi="Times New Roman"/>
          <w:sz w:val="18"/>
          <w:szCs w:val="18"/>
          <w:color w:val="auto"/>
        </w:rPr>
        <w:t>The expense ratio for an insurance company is the ratio of policy acquisition costs and other underwriting expenses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The expense ratio of our insurance subsidiaries was 34.6% for the first quarter of 2025, compared to 35.7% for the first quarter of 2024. The decrease in the expense ratio primarily reflected the favorable impact of ongoing expense management initiatives, offset partially by higher underwriting-based incentive costs for agents and employees. The impact from costs that Donegal Mutual Insurance Company allocated to our insurance subsidiaries related to its ongoing systems modernization project peaked at approximately 1.3 percentage points of the full year 2024 expense ratio, and we expect that impact to subside gradually over the next several years. Allocated costs related to that project represented approximately 1.2 percentage points of the expense ratio for the first quarter of 2025, and we expect the full year 2025 expense ratio impact will be approximately 1.0 percentage point.</w:t>
      </w:r>
    </w:p>
    <w:p>
      <w:pPr>
        <w:spacing w:after="0" w:line="183" w:lineRule="exact"/>
        <w:rPr>
          <w:sz w:val="20"/>
          <w:szCs w:val="20"/>
          <w:color w:val="auto"/>
        </w:rPr>
      </w:pPr>
    </w:p>
    <w:p>
      <w:pPr>
        <w:ind w:right="14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The combined ratio represents the sum of the loss ratio, the expense ratio and the dividend ratio, which is the ratio of policyholder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incurred to premiums earned. Our insurance subsidiaries’ combined ratios were 91.6% and 102.4% for the first quarter of 2025 and 2024, respectively. We attribute the decrease in the combined ratio primarily to the decrease in the loss ratio for the first quarter of 2025 compared to the first quarter of 2024.</w:t>
      </w:r>
    </w:p>
    <w:p>
      <w:pPr>
        <w:spacing w:after="0" w:line="180" w:lineRule="exact"/>
        <w:rPr>
          <w:sz w:val="20"/>
          <w:szCs w:val="20"/>
          <w:color w:val="auto"/>
        </w:rPr>
      </w:pPr>
    </w:p>
    <w:p>
      <w:pPr>
        <w:jc w:val="both"/>
        <w:ind w:right="2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income tax expense of $6.0 million for the first quarter of 2025, representing an effective tax rate of 19.1%.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income tax expense of $1.3 million for the first quarter of 2024, representing an effective tax rate of 17.8%. The income tax tax expense for the first quarter of 2025 and 2024 represented estimates based on our projected annual taxable income and effective tax rates.</w:t>
      </w:r>
    </w:p>
    <w:p>
      <w:pPr>
        <w:spacing w:after="0" w:line="17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Income and Net Income Per Share. </w:t>
      </w:r>
      <w:r>
        <w:rPr>
          <w:rFonts w:ascii="Times New Roman" w:cs="Times New Roman" w:eastAsia="Times New Roman" w:hAnsi="Times New Roman"/>
          <w:sz w:val="18"/>
          <w:szCs w:val="18"/>
          <w:color w:val="auto"/>
        </w:rPr>
        <w:t>Our net income for the first quarter of 2025 was $25.2 million, or $.71 per share of Class A common stock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diluted basis and $.65 per share of Class B common stock, compared to $6.0 million, or $.18 per share of Class A common stock on a diluted basis and $.16 per share of Class B common stock, for the first quarter of 2024. We had 30.4 million and 27.8 million Class A shares outstanding at March 31, 2025 and 2024, respectively. We had 5.6 million Class B shares outstanding at the end of both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Liquidity is a measure of an entity’s ability to secure enough cash to meet its contractual obligations and operating needs as they arise. Our major sources of funds from operations are the net cash flows we generate from our insurance subsidiaries’ underwriting results, investment income and maturing investments.</w:t>
      </w:r>
    </w:p>
    <w:p>
      <w:pPr>
        <w:spacing w:after="0" w:line="176"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We have historically generated sufficient net positive cash flow to fund our commitments and add to our investment portfolio, thereby increasing future investment returns. The pooling agreement with Donegal Mutual historically has been cash-flow positive because of the profitability of the underwriting pool. Because we settle the pool monthly, our cash flows are substantially similar to the cash flows that would result from the underwriting of direct business. We maintain a high degree of liquidity in our investment portfolio in the form of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This laddering approach provides an additional measure of liquidity to meet our obligations and the obligations of our insurance subsidiaries should an unexpected variation occur in the future. Net cash flows provided by operating activities in the first three months of 2025 and 2024 were $25.7 million and $4.8 million, respectively.</w:t>
      </w:r>
    </w:p>
    <w:p>
      <w:pPr>
        <w:spacing w:after="0" w:line="19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At March 31, 2025, we had no outstanding borrowings under our line of credit with M&amp;T and had the ability to borrow up to $20.0 million at interest rates equal to the then-current Term SOFR rate plus 2.11%. At March 31, 2025, Atlantic States had a $35.0 million outstanding advance with the FHLB of Pittsburgh that carries a fixed interest rate of 3.806% and is due in September 2026. We discuss in Note 7 – Borrowings our estimate of the timing of the amounts payable for the borrowings under our lines of credit based on their contractual maturities.</w:t>
      </w:r>
    </w:p>
    <w:p>
      <w:pPr>
        <w:spacing w:after="0" w:line="1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We estimate the timing of claim payments associated with the liabilities for losses and loss expenses of our insurance subsidiaries based on historical experience and expectations of future payment patterns.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05"/>
        <w:spacing w:after="0" w:line="281" w:lineRule="auto"/>
        <w:rPr>
          <w:sz w:val="20"/>
          <w:szCs w:val="20"/>
          <w:color w:val="auto"/>
        </w:rPr>
      </w:pPr>
      <w:r>
        <w:rPr>
          <w:rFonts w:ascii="Times New Roman" w:cs="Times New Roman" w:eastAsia="Times New Roman" w:hAnsi="Times New Roman"/>
          <w:sz w:val="17"/>
          <w:szCs w:val="17"/>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the SEC Rule 10b-18 and in privately negotiated transactions. We did not purchase any shares of our Class A common stock under this program during the three months ended March 31, 2025 or 2024. We have purchased a total of 57,658 shares of our Class A common stock under this program from its inception through March 31, 2025.</w:t>
      </w:r>
    </w:p>
    <w:p>
      <w:pPr>
        <w:spacing w:after="0" w:line="164"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On April 17, 2025, our board of directors declared quarterly cash dividends of $.1825 per share of our Class A common stock and $.165 per share of our Class B common stock, payable on May 15, 2025 to our stockholders of record as of the close of business on May 1, 2025. There are no regulatory restrictions on our payment of dividends to our stockholders, although there are restrictions under applicable state laws on the payment of dividends from our insurance subsidiaries to us, which is a significant source of cash for payment of stockholder dividends by us. Our insurance subsidiaries are required by law to maintain minimum surplus on a statutory basis and are subject to regulations under which their payment of dividends from statutory surplus is restricted and may require prior approval of their domiciliary insurance regulatory authorities. Our insurance subsidiaries are also subject to risk based capital (“RBC”) requirements. The amount of statutory capital and surplus necessary for our insurance subsidiaries to satisfy regulatory requirements, including the RBC requirements, was not significant in relation to our insurance subsidiaries’ statutory capital and surplus at December 31, 2024. Our insurance subsidiaries did not pay any dividends to us during the first three months of 2025. Amounts remaining available for distribution to us as dividends from our insurance subsidiaries without prior approval of their domiciliary insurance regulatory authorities in 2025 are $40.7 million from Atlantic States, $7.8 million from MICO and $4.7 million from Peninsula, or a total of approximately $53.3 million.</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March 31, 2025, we had no material commitments for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229"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8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6"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changes to our quantitative or qualitative market risk exposure from December 31, 2024 through March 31, 2025.</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March 31, 2025,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29" w:lineRule="exact"/>
        <w:rPr>
          <w:sz w:val="20"/>
          <w:szCs w:val="20"/>
          <w:color w:val="auto"/>
        </w:rPr>
      </w:pPr>
    </w:p>
    <w:p>
      <w:pPr>
        <w:ind w:right="100" w:firstLine="445"/>
        <w:spacing w:after="0" w:line="252" w:lineRule="auto"/>
        <w:rPr>
          <w:sz w:val="20"/>
          <w:szCs w:val="20"/>
          <w:color w:val="auto"/>
        </w:rPr>
      </w:pPr>
      <w:r>
        <w:rPr>
          <w:rFonts w:ascii="Times New Roman" w:cs="Times New Roman" w:eastAsia="Times New Roman" w:hAnsi="Times New Roman"/>
          <w:sz w:val="18"/>
          <w:szCs w:val="18"/>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labor shortages and escalating medical, automobile and property repair costs, including due to tariffs),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and, therefore, the value of our Class A common stock and our Class B common stock, are subject to a number of risks. For a description of certain risks, we refer to “Risk Factors” in our 2024 Annual Report on Form 10-K that we filed with the SEC on March 10, 2025. There have been no material changes in the risk factors we disclosed in that Form 10-K Report during the three months ended March 31, 2025.</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 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2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 Total Number of Shares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 Average Price Paid per</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1"/>
                <w:szCs w:val="21"/>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198"/>
        </w:trPr>
        <w:tc>
          <w:tcPr>
            <w:tcW w:w="226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#1</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Class A – None</w:t>
            </w: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None</w:t>
            </w:r>
          </w:p>
        </w:tc>
        <w:tc>
          <w:tcPr>
            <w:tcW w:w="2180" w:type="dxa"/>
            <w:vAlign w:val="bottom"/>
            <w:tcBorders>
              <w:top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13"/>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2025</w:t>
            </w:r>
          </w:p>
        </w:tc>
        <w:tc>
          <w:tcPr>
            <w:tcW w:w="120" w:type="dxa"/>
            <w:vAlign w:val="bottom"/>
            <w:shd w:val="clear" w:color="auto" w:fill="CCEEFF"/>
          </w:tcPr>
          <w:p>
            <w:pPr>
              <w:spacing w:after="0"/>
              <w:rPr>
                <w:sz w:val="9"/>
                <w:szCs w:val="9"/>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160" w:type="dxa"/>
            <w:vAlign w:val="bottom"/>
            <w:vMerge w:val="continue"/>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Month #2</w:t>
            </w:r>
          </w:p>
        </w:tc>
        <w:tc>
          <w:tcPr>
            <w:tcW w:w="12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51,901</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$16.96</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 51,901</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February 1-28, 2025</w:t>
            </w:r>
          </w:p>
        </w:tc>
        <w:tc>
          <w:tcPr>
            <w:tcW w:w="120" w:type="dxa"/>
            <w:vAlign w:val="bottom"/>
          </w:tcPr>
          <w:p>
            <w:pPr>
              <w:spacing w:after="0"/>
              <w:rPr>
                <w:sz w:val="10"/>
                <w:szCs w:val="10"/>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21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Month #3</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130,109</w:t>
            </w:r>
          </w:p>
        </w:tc>
        <w:tc>
          <w:tcPr>
            <w:tcW w:w="22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Class A – $17.93</w:t>
            </w:r>
          </w:p>
        </w:tc>
        <w:tc>
          <w:tcPr>
            <w:tcW w:w="21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130,109</w:t>
            </w: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26"/>
        </w:trPr>
        <w:tc>
          <w:tcPr>
            <w:tcW w:w="2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2025</w:t>
            </w:r>
          </w:p>
        </w:tc>
        <w:tc>
          <w:tcPr>
            <w:tcW w:w="12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260" w:type="dxa"/>
            <w:vAlign w:val="bottom"/>
            <w:gridSpan w:val="2"/>
            <w:vMerge w:val="continue"/>
            <w:shd w:val="clear" w:color="auto" w:fill="CCEEFF"/>
          </w:tcPr>
          <w:p>
            <w:pPr>
              <w:spacing w:after="0"/>
              <w:rPr>
                <w:sz w:val="9"/>
                <w:szCs w:val="9"/>
                <w:color w:val="auto"/>
              </w:rPr>
            </w:pPr>
          </w:p>
        </w:tc>
        <w:tc>
          <w:tcPr>
            <w:tcW w:w="2160" w:type="dxa"/>
            <w:vAlign w:val="bottom"/>
            <w:vMerge w:val="continue"/>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182,010</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A – $17.65</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 182,010</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Class B – None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 None</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4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Donegal Mutual purchased these shares pursuant to its announcement on April 29, 2022 that it will, at its discretion, purchase shares of our Class A common stock and Class B common stock at market prices prevailing from time to time in the open market subject to the provisions of SEC Rule 10b-18 and in privately negotiated transactions. Such announcement did not stipulate a maximum number of shares that may be purchased under this program.</w:t>
      </w:r>
    </w:p>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85"/>
        </w:trPr>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0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9"/>
        </w:trPr>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8500" w:type="dxa"/>
            <w:vAlign w:val="bottom"/>
            <w:tcBorders>
              <w:bottom w:val="single" w:sz="8" w:color="auto"/>
            </w:tcBorders>
          </w:tcPr>
          <w:p>
            <w:pPr>
              <w:jc w:val="right"/>
              <w:ind w:right="371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r>
      <w:tr>
        <w:trPr>
          <w:trHeight w:val="432"/>
        </w:trPr>
        <w:tc>
          <w:tcPr>
            <w:tcW w:w="10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Management Contracts and Compensatory Plans or Arrangements</w:t>
            </w:r>
          </w:p>
        </w:tc>
        <w:tc>
          <w:tcPr>
            <w:tcW w:w="9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86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Form of Employment Agreement dated as of October 1, 2020 among Donegal Mutual Insurance Company, Donegal</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86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Inc. and Our Executive Officers Other Than Kevin G. Burke and Jeffrey D. Miller</w:t>
            </w:r>
          </w:p>
        </w:tc>
        <w:tc>
          <w:tcPr>
            <w:tcW w:w="9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Exhibits</w:t>
            </w:r>
          </w:p>
        </w:tc>
        <w:tc>
          <w:tcPr>
            <w:tcW w:w="100" w:type="dxa"/>
            <w:vAlign w:val="bottom"/>
            <w:shd w:val="clear" w:color="auto" w:fill="CCEEFF"/>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86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5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5"/>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86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5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86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Statement of Chief Executive Officer pursuant to 18 U.S.C. Section 1350 of Title 18 of the United States Code.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5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6"/>
        </w:trPr>
        <w:tc>
          <w:tcPr>
            <w:tcW w:w="1700" w:type="dxa"/>
            <w:vAlign w:val="bottom"/>
            <w:gridSpan w:val="4"/>
            <w:shd w:val="clear" w:color="auto" w:fill="CCEEFF"/>
          </w:tcPr>
          <w:p>
            <w:pPr>
              <w:ind w:left="700"/>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8640" w:type="dxa"/>
            <w:vAlign w:val="bottom"/>
            <w:gridSpan w:val="3"/>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Statement of Chief Financial Officer pursuant to 18 U.S.C. Section 1350 of Title 18 of the United States Code.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3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5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101.INS</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Instance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101.SCH</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Taxonomy Extension Schema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101.PRE</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101.CAL</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101.LAB</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Taxonomy Label Linkbase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101.DEF</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216"/>
        </w:trPr>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8"/>
        </w:trPr>
        <w:tc>
          <w:tcPr>
            <w:tcW w:w="17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Exhibit 104</w:t>
            </w:r>
          </w:p>
        </w:tc>
        <w:tc>
          <w:tcPr>
            <w:tcW w:w="864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Filed</w:t>
            </w:r>
          </w:p>
        </w:tc>
      </w:tr>
      <w:tr>
        <w:trPr>
          <w:trHeight w:val="234"/>
        </w:trPr>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r>
      <w:tr>
        <w:trPr>
          <w:trHeight w:val="571"/>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gridSpan w:val="2"/>
          </w:tcPr>
          <w:p>
            <w:pPr>
              <w:jc w:val="right"/>
              <w:ind w:right="4510"/>
              <w:spacing w:after="0"/>
              <w:rPr>
                <w:sz w:val="20"/>
                <w:szCs w:val="20"/>
                <w:color w:val="auto"/>
              </w:rPr>
            </w:pPr>
            <w:r>
              <w:rPr>
                <w:rFonts w:ascii="Times New Roman" w:cs="Times New Roman" w:eastAsia="Times New Roman" w:hAnsi="Times New Roman"/>
                <w:sz w:val="14"/>
                <w:szCs w:val="14"/>
                <w:color w:val="auto"/>
              </w:rPr>
              <w:t>32</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3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DONEGAL GROUP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2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7"/>
          <w:szCs w:val="17"/>
          <w:b w:val="1"/>
          <w:bCs w:val="1"/>
          <w:color w:val="auto"/>
        </w:rPr>
        <w:t xml:space="preserve">By: </w:t>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Jeffrey D. Miller,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 w:right="49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 2020 (the “Effective Date”), among Donegal Mutual Insurance Company, a Pennsylvania mutual insurance company having its principal place of business at 1195 River Road, Marietta, Pennsylvania 17547 (“</w:t>
      </w:r>
      <w:r>
        <w:rPr>
          <w:rFonts w:ascii="Times New Roman" w:cs="Times New Roman" w:eastAsia="Times New Roman" w:hAnsi="Times New Roman"/>
          <w:sz w:val="18"/>
          <w:szCs w:val="18"/>
          <w:u w:val="single" w:color="auto"/>
          <w:color w:val="auto"/>
        </w:rPr>
        <w:t>Donegal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Mutual</w:t>
      </w:r>
      <w:r>
        <w:rPr>
          <w:rFonts w:ascii="Times New Roman" w:cs="Times New Roman" w:eastAsia="Times New Roman" w:hAnsi="Times New Roman"/>
          <w:sz w:val="18"/>
          <w:szCs w:val="18"/>
          <w:color w:val="auto"/>
        </w:rPr>
        <w:t>”), Donegal Group Inc., a Delaware corporation having its principal place of business at 1195 River Road, Marietta, Pennsylvania 17547 (“</w:t>
      </w:r>
      <w:r>
        <w:rPr>
          <w:rFonts w:ascii="Times New Roman" w:cs="Times New Roman" w:eastAsia="Times New Roman" w:hAnsi="Times New Roman"/>
          <w:sz w:val="18"/>
          <w:szCs w:val="18"/>
          <w:u w:val="single" w:color="auto"/>
          <w:color w:val="auto"/>
        </w:rPr>
        <w:t>DGI</w:t>
      </w:r>
      <w:r>
        <w:rPr>
          <w:rFonts w:ascii="Times New Roman" w:cs="Times New Roman" w:eastAsia="Times New Roman" w:hAnsi="Times New Roman"/>
          <w:sz w:val="18"/>
          <w:szCs w:val="18"/>
          <w:color w:val="auto"/>
        </w:rPr>
        <w:t>,” and, together with Donegal Mutual, the “</w:t>
      </w:r>
      <w:r>
        <w:rPr>
          <w:rFonts w:ascii="Times New Roman" w:cs="Times New Roman" w:eastAsia="Times New Roman" w:hAnsi="Times New Roman"/>
          <w:sz w:val="18"/>
          <w:szCs w:val="18"/>
          <w:u w:val="single" w:color="auto"/>
          <w:color w:val="auto"/>
        </w:rPr>
        <w:t>Employers</w:t>
      </w:r>
      <w:r>
        <w:rPr>
          <w:rFonts w:ascii="Times New Roman" w:cs="Times New Roman" w:eastAsia="Times New Roman" w:hAnsi="Times New Roman"/>
          <w:sz w:val="18"/>
          <w:szCs w:val="18"/>
          <w:color w:val="auto"/>
        </w:rPr>
        <w:t>”), and __________________, an individual whose principal office address is 1195 River Road, Marietta, PA 17547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Employers desire, by this Agreement, to provide for the continued employment of Executive by the Employers, and Executive agrees to the continued employment of Executive by the Employers, all in accordance with the terms and subject to the conditions set forth in this Agreement;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are entering into this Agreement to set forth and confirm their respective rights and obligations with respect to Executive’s continued employment by the Employers;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and mutual covenants contained herein and other good and valuable consideration, the receipt and sufficiency of which are hereby acknowledged, the parties hereto agree as follows:</w:t>
      </w:r>
    </w:p>
    <w:p>
      <w:pPr>
        <w:spacing w:after="0" w:line="162" w:lineRule="exact"/>
        <w:rPr>
          <w:sz w:val="20"/>
          <w:szCs w:val="20"/>
          <w:color w:val="auto"/>
        </w:rPr>
      </w:pPr>
    </w:p>
    <w:p>
      <w:pPr>
        <w:jc w:val="both"/>
        <w:ind w:firstLine="1304"/>
        <w:spacing w:after="0" w:line="258" w:lineRule="auto"/>
        <w:tabs>
          <w:tab w:leader="none" w:pos="19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Beginning on the Effective Date, the Employers agree to continue to employ Executive and Executive agrees to continue to provide services to the Employers from the Effective Date until 3 years (i.e., 36 months) later (the “</w:t>
      </w:r>
      <w:r>
        <w:rPr>
          <w:rFonts w:ascii="Times New Roman" w:cs="Times New Roman" w:eastAsia="Times New Roman" w:hAnsi="Times New Roman"/>
          <w:sz w:val="18"/>
          <w:szCs w:val="18"/>
          <w:u w:val="single" w:color="auto"/>
          <w:color w:val="auto"/>
        </w:rPr>
        <w:t>Employment Period</w:t>
      </w:r>
      <w:r>
        <w:rPr>
          <w:rFonts w:ascii="Times New Roman" w:cs="Times New Roman" w:eastAsia="Times New Roman" w:hAnsi="Times New Roman"/>
          <w:sz w:val="18"/>
          <w:szCs w:val="18"/>
          <w:color w:val="auto"/>
        </w:rPr>
        <w:t>”). The Employment Period shall be automatically extended for an additional one (1) year term thereafter, unless either party provides the other party with written notice of intent to have the Employment Period expire without renewal no later than sixty (60) days prior to the end of the then-current Employment Period, or this Agreement is otherwise terminated by either party.</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(i) Donegal Mutual agrees to continue to employ Executive, and Executive agrees to continue Executive’s employment as, the _______________ of Donegal Mutual and (ii) DGI agrees to continue to employ Executive, and Executive agrees to continue Executive’s employment as, the ____________ of DGI, with the positions described in clauses (i) and (ii) collectively referred to in this Agreement as the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in accordance with the terms and subject to the conditions this Agreement sets forth. Donegal Mutual and DGI shall be jointly and severally liable to Executive with respect to (i) all liabilities of Donegal Mutual to Executive under this Agreement and (ii) all liabilities of DGI to Executive under this Agreement; provided, however, that Donegal Mutual shall not be responsible for any liability of DGI to Executive to the extent that DGI has discharged such liability, and DGI shall not be responsible for any liability of Donegal Mutual to Executive to the extent that Donegal Mutual has discharged such liability. Executive shall serve in the Position and in such capacity and shall have the normal duties, responsibilities, functions and authority consistent with the Position, subject to the power and authority of the respective board of directors of Donegal Mutual and DGI (together, the “</w:t>
      </w:r>
      <w:r>
        <w:rPr>
          <w:rFonts w:ascii="Times New Roman" w:cs="Times New Roman" w:eastAsia="Times New Roman" w:hAnsi="Times New Roman"/>
          <w:sz w:val="18"/>
          <w:szCs w:val="18"/>
          <w:u w:val="single" w:color="auto"/>
          <w:color w:val="auto"/>
        </w:rPr>
        <w:t>Boards</w:t>
      </w:r>
      <w:r>
        <w:rPr>
          <w:rFonts w:ascii="Times New Roman" w:cs="Times New Roman" w:eastAsia="Times New Roman" w:hAnsi="Times New Roman"/>
          <w:sz w:val="18"/>
          <w:szCs w:val="18"/>
          <w:color w:val="auto"/>
        </w:rPr>
        <w:t>”) to expand or limit such duties, responsibilities, functions and authority and to overrule actions of officers of the Employers. During the Employment Period, Executive shall render such services to the Employers which are consistent with the Position and as the President and Chief Executive Officer and/or as either of the Boards may from time to time 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jc w:val="both"/>
        <w:ind w:firstLine="1952"/>
        <w:spacing w:after="0" w:line="253" w:lineRule="auto"/>
        <w:tabs>
          <w:tab w:leader="none" w:pos="261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report to the President and Chief Executive Officer or his designee and shall devote his best efforts and his full business time and attention to the business and affairs of the Employers. Executive shall perform his duties, responsibilities and functions to the best of his abilities in a diligent, trustworthy, professional and efficient manner and shall comply with the policies and procedures of the Employers in all material respects. In performing his duties and exercising his authority under this Agreement, Executive shall develop, support and implement the business and strategic plans approved from time to time by the Boards and shall support and cooperate with the Employers’ efforts to expand their business and operate profitably and in conformity with the business and strategic plans approved by the Boards. So long as Executive is employed by one or both of the Employers, Executive shall not, without the prior written consent of the Boards, accept other employment, perform other services for compensation, or perform other work that results in any financial benefit to Executive. Notwithstanding the foregoing, nothing in this Agreement shall preclude Executive from engaging in educational, charitable, political, professional and civic activities, provided that such engagement does not interfere with Executive’s duties and responsibilities hereunder.</w:t>
      </w:r>
    </w:p>
    <w:p>
      <w:pPr>
        <w:spacing w:after="0" w:line="19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7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During the Employment Period, Executive shall receive a base salary of __________ Dollars ($__________) per annum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which may be modified by the Employers in their sole discretion (provided, however, that any decrease in Executive’s Base Salary shall be made only if the Employers contemporaneously and proportionately decrease the base salaries of all senior executives of such Employers).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60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Base Salary</w:t>
      </w:r>
      <w:r>
        <w:rPr>
          <w:rFonts w:ascii="Times New Roman" w:cs="Times New Roman" w:eastAsia="Times New Roman" w:hAnsi="Times New Roman"/>
          <w:sz w:val="18"/>
          <w:szCs w:val="18"/>
          <w:color w:val="auto"/>
        </w:rPr>
        <w:t>. The Base Salary shall be payable by the Employers in regular installments in accordance with the Employers’ payroll practices in effect from time to time, less withholdings and deductions required or permitted by applicable law.</w:t>
      </w:r>
    </w:p>
    <w:p>
      <w:pPr>
        <w:spacing w:after="0" w:line="161" w:lineRule="exact"/>
        <w:rPr>
          <w:rFonts w:ascii="Times New Roman" w:cs="Times New Roman" w:eastAsia="Times New Roman" w:hAnsi="Times New Roman"/>
          <w:sz w:val="18"/>
          <w:szCs w:val="18"/>
          <w:color w:val="auto"/>
        </w:rPr>
      </w:pPr>
    </w:p>
    <w:p>
      <w:pPr>
        <w:jc w:val="both"/>
        <w:ind w:firstLine="1952"/>
        <w:spacing w:after="0" w:line="233" w:lineRule="auto"/>
        <w:tabs>
          <w:tab w:leader="none" w:pos="25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During the Employment Period, Executive shall be eligible to receive an annual performance bonus (an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subject to the (i) achievement of Employers’ performance criteria, as determined in the Employers’ sole discretion, and (ii) Executive’s continued employment with the Employers through the end of the year for which such bonus is paid (except as otherwise provided in Section 4). The Employers’ performance criteria shall be determined in good faith by the President and Chief Executive Officer or his designee, in consultation with Executive. The Annual Bonus shall be paid in a single lump sum payment, less withholdings and deductions required or permitted by applicable law, to Executive when annual bonuses for that year are paid to other executives of the Employers, but in no event later than the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following the end of the year for which the bonus is paid.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right="20" w:firstLine="1952"/>
        <w:spacing w:after="0" w:line="266" w:lineRule="auto"/>
        <w:tabs>
          <w:tab w:leader="none" w:pos="27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Plans</w:t>
      </w:r>
      <w:r>
        <w:rPr>
          <w:rFonts w:ascii="Times New Roman" w:cs="Times New Roman" w:eastAsia="Times New Roman" w:hAnsi="Times New Roman"/>
          <w:sz w:val="18"/>
          <w:szCs w:val="18"/>
          <w:color w:val="auto"/>
        </w:rPr>
        <w:t>. Executive shall be entitled to participate in any incentive plans that the Employers may sponsor, if any, in accordance (in all material respects) with the applicable policies of the Employers relating to incentive compensation for executive officers, and based on the objectives set forth in such Employers’ executive incentive plans.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Throughout Executive’s employment during the Employment Period, the Employers shall provide Executive with all employee benefits and fringe benefits as may be provided from time to time to the Employers’ executives.</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During the Employment Period, and subject to Section 21(d) hereunder, the Employers shall reimburse Executive, within a reasonable period of time of Executive submitting an expense report to the Employers, for all reasonable business expenses incurred by him in the course of performing his duties and responsibilities under this Agreement which are consistent with the Employers’ policies in effect from time to time with respect to travel, entertainment and other business expenses, subject to the Employers’ requirements with respect to reporting and documentation of such expenses.</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 Employers’ Obligations Upon Cessation of Employment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2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Subject to the terms of this Agreement, the Employment Period and Executive’s employment with the Employers may be terminated by either party at any time and for any or no reason. Any termination of employment by the Employers or by Executive under this Section 4 shall be communicated by a written notice to the other party hereto indicating the specific termination provision in this Agreement relied upon. Executive’s final day of employment with the Employers, as set forth in such written notice, shall be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Employers’ Obligations Upon Cessation of the Employment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80" w:hanging="680"/>
        <w:spacing w:after="0"/>
        <w:tabs>
          <w:tab w:leader="none" w:pos="32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Payments</w:t>
      </w:r>
      <w:r>
        <w:rPr>
          <w:rFonts w:ascii="Times New Roman" w:cs="Times New Roman" w:eastAsia="Times New Roman" w:hAnsi="Times New Roman"/>
          <w:sz w:val="18"/>
          <w:szCs w:val="18"/>
          <w:color w:val="auto"/>
        </w:rPr>
        <w:t>. Upon Executive’s termination of employment for any reason, Executive shall be entitled</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 payment of any unpaid premiums for medical and dental insurance coverage through the Termination Date for Executive (and his immediate family) and any other employee benefits Executive is entitled to hereunder, (B) payment of all accrued but unpaid vacation; (C) any expense reimbursement owed to Executive under Section 3(f), which shall be paid within thirty (30) days of the Termination Date; and (D) the Base Salary earned for services rendered by Executive through the Termination Date, which shall be paid on the next succeeding payroll date (collectively, the “</w:t>
      </w:r>
      <w:r>
        <w:rPr>
          <w:rFonts w:ascii="Times New Roman" w:cs="Times New Roman" w:eastAsia="Times New Roman" w:hAnsi="Times New Roman"/>
          <w:sz w:val="18"/>
          <w:szCs w:val="18"/>
          <w:u w:val="single" w:color="auto"/>
          <w:color w:val="auto"/>
        </w:rPr>
        <w:t>Accrued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2600"/>
        <w:spacing w:after="0" w:line="261" w:lineRule="auto"/>
        <w:tabs>
          <w:tab w:leader="none" w:pos="324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for Good Reason or Following Change of Control</w:t>
      </w:r>
      <w:r>
        <w:rPr>
          <w:rFonts w:ascii="Times New Roman" w:cs="Times New Roman" w:eastAsia="Times New Roman" w:hAnsi="Times New Roman"/>
          <w:sz w:val="18"/>
          <w:szCs w:val="18"/>
          <w:color w:val="auto"/>
        </w:rPr>
        <w:t>. If Executive’s employment is terminated without Cause by the Employers, Executive resigns for Good Reason, or Executive resigns with or without Good Reason within twelve (12) months after the consummation of a Change of Control, and subject to Section 4(c) below, then Executive shall be entitled to the Accrued Payments and shall also be entitled to receive: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3248"/>
        <w:spacing w:after="0" w:line="266" w:lineRule="auto"/>
        <w:tabs>
          <w:tab w:leader="none" w:pos="39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Annual Bonus earned by Executive with respect to the year ending prior to the year in which the Termination Date occurs, notwithstanding Executive’s termination of employment, which shall be paid in a lump sum at the same time, and calculated in the same manner, as the Annual Bonus would have been paid and calculated had there not been a termination of Executive’s employment;</w:t>
      </w:r>
    </w:p>
    <w:p>
      <w:pPr>
        <w:spacing w:after="0" w:line="175" w:lineRule="exact"/>
        <w:rPr>
          <w:rFonts w:ascii="Times New Roman" w:cs="Times New Roman" w:eastAsia="Times New Roman" w:hAnsi="Times New Roman"/>
          <w:sz w:val="18"/>
          <w:szCs w:val="18"/>
          <w:color w:val="auto"/>
        </w:rPr>
      </w:pPr>
    </w:p>
    <w:p>
      <w:pPr>
        <w:jc w:val="both"/>
        <w:ind w:firstLine="3248"/>
        <w:spacing w:after="0" w:line="266" w:lineRule="auto"/>
        <w:tabs>
          <w:tab w:leader="none" w:pos="39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in an amount equal to thirty-six (36) months of his Base Salary in effect on the Termination Date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payable in equal installments, with the first installment payable on the Employers’ first regularly scheduled payroll date occurring after the effective date of the general release; and</w:t>
      </w:r>
    </w:p>
    <w:p>
      <w:pPr>
        <w:spacing w:after="0" w:line="175" w:lineRule="exact"/>
        <w:rPr>
          <w:rFonts w:ascii="Times New Roman" w:cs="Times New Roman" w:eastAsia="Times New Roman" w:hAnsi="Times New Roman"/>
          <w:sz w:val="18"/>
          <w:szCs w:val="18"/>
          <w:color w:val="auto"/>
        </w:rPr>
      </w:pPr>
    </w:p>
    <w:p>
      <w:pPr>
        <w:jc w:val="both"/>
        <w:ind w:firstLine="3248"/>
        <w:spacing w:after="0" w:line="261" w:lineRule="auto"/>
        <w:tabs>
          <w:tab w:leader="none" w:pos="39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Employers shall pay as a lump sum to Executive the full aggregate premium cost (calculated based on the current premium cost as of the Termination Date) that the Employers and Executive would have paid to maintain the same medical, health, disability and life insurance coverage the Employers provided to Executive immediately prior to the Termination Date had Executive remained employed for thirty-six (36) months following the Termination Date.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the Agreement, the compensation and benefits referenced in Section 4(b)(ii)(A)-(C) are referred to as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The Severance Benefits shall be paid to Executive less withholdings and deductions required or permitted by applicable law.</w:t>
      </w:r>
    </w:p>
    <w:p>
      <w:pPr>
        <w:spacing w:after="0" w:line="162" w:lineRule="exact"/>
        <w:rPr>
          <w:sz w:val="20"/>
          <w:szCs w:val="20"/>
          <w:color w:val="auto"/>
        </w:rPr>
      </w:pPr>
    </w:p>
    <w:p>
      <w:pPr>
        <w:jc w:val="both"/>
        <w:ind w:firstLine="2600"/>
        <w:spacing w:after="0" w:line="254" w:lineRule="auto"/>
        <w:tabs>
          <w:tab w:leader="none" w:pos="32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 Death or Incapacity, or Resignation Without Good Reason</w:t>
      </w:r>
      <w:r>
        <w:rPr>
          <w:rFonts w:ascii="Times New Roman" w:cs="Times New Roman" w:eastAsia="Times New Roman" w:hAnsi="Times New Roman"/>
          <w:sz w:val="18"/>
          <w:szCs w:val="18"/>
          <w:color w:val="auto"/>
        </w:rPr>
        <w:t>. If the Employment Period is terminated by the Employers for Cause or upon Executive’s resignation without Good Reason (other than a resignation within twelve (12) months after the consummation of a Change of Control), or death or Incapacity (as determined by the Boards in their good faith judgment), Executive shall only be entitled to receive the Accrued Payments (if any), and shall not be entitled to any other salary, compensation or benefits from the Employers after termination of the Employment Period, except as otherwise specifically provided for under the Employers’ employee benefit plans or as otherwise expressly required by applicable law. Notwithstanding the foregoing, in the event of Executive’s death, the Employers shall continue to pay Executive’s then Base Salary to the Executive’s estate or personal representative for a period of two (2) years in fifty-two (52) equal bi-weekly installment payments, with the first payment commencing on the Employers’ first regularly scheduled payroll date occurring after Executive’s death.</w:t>
      </w:r>
    </w:p>
    <w:p>
      <w:pPr>
        <w:spacing w:after="0" w:line="19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2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of Executive’s rights to salary, employee benefits and other compensation hereunder which would have accrued or become payable after the termination of the Employment Period shall cease upon such termination, other than those expressly required under applicable law. The Employers may offset any amounts Executive owes the Employers against any amounts the Employers owe Executive hereunder, provided, that such amounts claimed to be owed by Executive have not been disputed by Executive after sufficient advance written notice thereof by the Employers.</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Employers’ obligation to provide the Severance Benefits to Executive shall be conditioned upon Executive’s execution and the irrevocability of a general release in a form reasonably acceptable to the Employers. Except as otherwise expressly provided herein, Executive shall not be entitled to any other salary, compensation or other benefits after termination of the Employment Period, except as specifically provided for in the Employers’ employee benefit plans or as otherwise expressly required by applicable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1952"/>
        <w:spacing w:after="0" w:line="253" w:lineRule="auto"/>
        <w:tabs>
          <w:tab w:leader="none" w:pos="271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(i) Executive’s willful and continued failure substantially to perform Executive’s material duties with the Employers as set forth in this Agreement, or the commission by Executive of any activities constituting a willful violation or breach under any material federal, state or local law or regulation applicable to the activities of Donegal Mutual or DGI or their respective subsidiaries and affiliates, in each case, after notice of such failure, breach or violation from the Employers to Executive and a reasonable opportunity for Executive to cure such failure, breach or violation in all material respects, (ii) fraud, breach of fiduciary duty, dishonesty, misappropriation or other actions by Executive that cause intentional material damage to the property or business of Donegal Mutual or DGI or their respective subsidiaries and affiliates, (iii) Executive’s repeated absences from work such that Executive is substantially unable to perform Executive’s duties under this Agreement in all material respects other than for physical or mental impairment or illness or (iv) Executive’s non-compliance with the provisions of Section 2(b) of this Agreement after notice of such non-compliance from the Employers to Executive and a reasonable opportunity for Executive to cure such non-compliance.</w:t>
      </w:r>
    </w:p>
    <w:p>
      <w:pPr>
        <w:spacing w:after="0" w:line="194"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Incapacity</w:t>
      </w:r>
      <w:r>
        <w:rPr>
          <w:rFonts w:ascii="Times New Roman" w:cs="Times New Roman" w:eastAsia="Times New Roman" w:hAnsi="Times New Roman"/>
          <w:sz w:val="18"/>
          <w:szCs w:val="18"/>
          <w:color w:val="auto"/>
        </w:rPr>
        <w:t>” shall be deemed to occur if the Boards, in their good faith judgment, determine that Executive is mentally or physically disabled or incapacitated such that he cannot perform his duties and responsibilities under this Agreement and, within thirty (30) days of receipt of the Boards’ good faith determination, either (i) Executive fails to undertake a physical and/or mental examination by a physician reasonably acceptable to the Boards or (ii) after Executive undertakes a physical and/or mental examination by a physician reasonably acceptable to the Boards, such physician fails to certify to the Boards that Executive is physically and mentally able and capable of performing his duties and responsibilities under this Agreement.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7" w:lineRule="auto"/>
        <w:tabs>
          <w:tab w:leader="none" w:pos="25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(i) a material diminishment of Executive’s Position or the scope of Executive’s authority, duties or responsibilities as this Agreement describes without Executive’s written consent, excluding for this purpose any action the Employers do not take in bad faith and that the Employers remedy promptly following written notice thereof from Executive to the Employers,</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Executive’s principal business location to a location that is more than forty (40) miles farther from Executive’s current resident office in 1195 River Road, Marietta, PA 17547, or (iii) a material breach by either of the Employers of their respective obligations to Executive under this Agreement; provided, however, that with respect to any termination by Executive for Good Reason, Executive shall have provided the Employers with written notice within ninety (90) days of the date on which Executive first had actual knowledge of the existence of the Good Reason condition and which such Good Reason condition shall not have been cured or otherwise rectified by the Employers in all material respects to the reasonable satisfaction of Executive within thirty (30) days after the Employers receive such written notice.</w:t>
      </w:r>
    </w:p>
    <w:p>
      <w:pPr>
        <w:spacing w:after="0" w:line="189" w:lineRule="exact"/>
        <w:rPr>
          <w:rFonts w:ascii="Times New Roman" w:cs="Times New Roman" w:eastAsia="Times New Roman" w:hAnsi="Times New Roman"/>
          <w:sz w:val="18"/>
          <w:szCs w:val="18"/>
          <w:color w:val="auto"/>
        </w:rPr>
      </w:pPr>
    </w:p>
    <w:p>
      <w:pPr>
        <w:ind w:left="2640" w:hanging="688"/>
        <w:spacing w:after="0"/>
        <w:tabs>
          <w:tab w:leader="none" w:pos="2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be deemed to have occurred in the event of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(each a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2600"/>
        <w:spacing w:after="0" w:line="261" w:lineRule="auto"/>
        <w:tabs>
          <w:tab w:leader="none" w:pos="3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shares of DGI by any “person” or “group,” as Rule 13d-3 under the Securities Exchange Act of 1934, as now or hereafter amended, uses such terms, in a transaction or series of transactions that result in such person or group directly or indirectly first owning after the Effective Date more than 25% of the aggregate voting power of DGI’s Class A common stock and Class B common stock taken as a single class,</w:t>
      </w:r>
    </w:p>
    <w:p>
      <w:pPr>
        <w:spacing w:after="0" w:line="179" w:lineRule="exact"/>
        <w:rPr>
          <w:rFonts w:ascii="Times New Roman" w:cs="Times New Roman" w:eastAsia="Times New Roman" w:hAnsi="Times New Roman"/>
          <w:sz w:val="18"/>
          <w:szCs w:val="18"/>
          <w:color w:val="auto"/>
        </w:rPr>
      </w:pPr>
    </w:p>
    <w:p>
      <w:pPr>
        <w:ind w:firstLine="2600"/>
        <w:spacing w:after="0" w:line="282" w:lineRule="auto"/>
        <w:tabs>
          <w:tab w:leader="none" w:pos="31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of Donegal Mutual or other business combination transaction involving Donegal Mutual in which Donegal Mutual is not the surviving entity,</w:t>
      </w:r>
    </w:p>
    <w:p>
      <w:pPr>
        <w:spacing w:after="0" w:line="161" w:lineRule="exact"/>
        <w:rPr>
          <w:rFonts w:ascii="Times New Roman" w:cs="Times New Roman" w:eastAsia="Times New Roman" w:hAnsi="Times New Roman"/>
          <w:sz w:val="18"/>
          <w:szCs w:val="18"/>
          <w:color w:val="auto"/>
        </w:rPr>
      </w:pPr>
    </w:p>
    <w:p>
      <w:pPr>
        <w:ind w:right="60" w:firstLine="2600"/>
        <w:spacing w:after="0" w:line="266" w:lineRule="auto"/>
        <w:tabs>
          <w:tab w:leader="none" w:pos="326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of DGI or other business combination transaction involving DGI after which the holders of the outstanding voting capital stock of DGI taken as a single class do not collectively own 60% or more of the aggregate voting power of the entity surviving such merger or other business combination transaction,</w:t>
      </w:r>
    </w:p>
    <w:p>
      <w:pPr>
        <w:spacing w:after="0" w:line="175" w:lineRule="exact"/>
        <w:rPr>
          <w:rFonts w:ascii="Times New Roman" w:cs="Times New Roman" w:eastAsia="Times New Roman" w:hAnsi="Times New Roman"/>
          <w:sz w:val="18"/>
          <w:szCs w:val="18"/>
          <w:color w:val="auto"/>
        </w:rPr>
      </w:pPr>
    </w:p>
    <w:p>
      <w:pPr>
        <w:ind w:right="120" w:firstLine="2600"/>
        <w:spacing w:after="0" w:line="282" w:lineRule="auto"/>
        <w:tabs>
          <w:tab w:leader="none" w:pos="3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exchange or other transfer in a transaction or series of transactions of all or substantially all of the assets of DGI, but excluding therefrom the sale and re-investment of the consolidated investment portfolio of DGI and its subsidiaries,</w:t>
      </w:r>
    </w:p>
    <w:p>
      <w:pPr>
        <w:spacing w:after="0" w:line="161" w:lineRule="exact"/>
        <w:rPr>
          <w:rFonts w:ascii="Times New Roman" w:cs="Times New Roman" w:eastAsia="Times New Roman" w:hAnsi="Times New Roman"/>
          <w:sz w:val="18"/>
          <w:szCs w:val="18"/>
          <w:color w:val="auto"/>
        </w:rPr>
      </w:pPr>
    </w:p>
    <w:p>
      <w:pPr>
        <w:ind w:right="60" w:firstLine="2600"/>
        <w:spacing w:after="0" w:line="254" w:lineRule="auto"/>
        <w:tabs>
          <w:tab w:leader="none" w:pos="3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the composition of the board of directors of Donegal Mutual in which the individuals who, as of the Effective Date, constitute the board of directors of Donegal Mutual (the “Incumbent Donegal Mutual Board”) cease for any reason to constitute at least a majority of the board of directors of Donegal Mutual;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Donegal Mutual’s members, was approved by a vote of at least a majority of the directors then comprising the Incumbent Donegal Mutual Board shall be considered as though such individual were a member of the Incumbent Donegal Mutual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 individual or entity other than the board of directors of Donegal Mutual or</w:t>
      </w:r>
    </w:p>
    <w:p>
      <w:pPr>
        <w:spacing w:after="0" w:line="191" w:lineRule="exact"/>
        <w:rPr>
          <w:rFonts w:ascii="Times New Roman" w:cs="Times New Roman" w:eastAsia="Times New Roman" w:hAnsi="Times New Roman"/>
          <w:sz w:val="18"/>
          <w:szCs w:val="18"/>
          <w:color w:val="auto"/>
        </w:rPr>
      </w:pPr>
    </w:p>
    <w:p>
      <w:pPr>
        <w:ind w:firstLine="2600"/>
        <w:spacing w:after="0" w:line="255" w:lineRule="auto"/>
        <w:tabs>
          <w:tab w:leader="none" w:pos="32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the composition of the board of directors of DGI in which the individuals who, as of the Effective Date, constitute the board of directors of DGI (the “Incumbent DGI Board”) cease for any reason to constitute at least a majority of the board of directors of DGI;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individual becoming a director subsequent to the Effective Date whose election, or nomination for election by DGI’s stockholders, was approved by a vote of at least a majority of the directors then comprising the Incumbent DGI Board shall be considered as though such individual were a member of the Incumbent DGI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an individual or entity other than the board of directors of DGI.</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Transaction constituting a Change of Control in the case of subsections (i), (ii), (iii) or (iv) shall only be deemed to have occurred upon the closing of the Transaction. For purposes of this Agreement, consummation of a Change of Control shall only be deemed to have occurred upon the closing of a Transaction.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1952"/>
        <w:spacing w:after="0" w:line="266" w:lineRule="auto"/>
        <w:tabs>
          <w:tab w:leader="none" w:pos="260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Employers and Executive mutually agree to reimburse either party for the reasonable fees and expenses of either party’s attorneys and for court and related costs in any proceeding to enforce the provisions of this Agreement in which the Employers or Executive are successful on the merits.</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independent registered public accounting firm of either of the Employers or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determines that any payment, coverage or benefit provided to Executive pursuant to this Agreement is subject to the excise tax imposed by Sections 280G or 4999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any successor provisions thereto or any interest or penalties Executive incurs with respect to such excise tax, the Employers, within thirty (30) days thereafter, shall pay to Executive, in addition to any other payment, coverage or benefit due and owing under this Agreement, an additional amount that will result in Executive’s net after tax position, after taking into account any interest, penalties or taxes imposed on the amounts payable under this Section 4(i), upon the receipt of the payments for which this Agreement provides being no less advantageous to Executive than the net after tax position to Executive that would have been obtained had Sections 280G and 4999 of the Code not been applicable to such payment, coverage or benefits. Except as this Agreement otherwise provides, tax counsel, whose selection shall be reasonably acceptable to Executive and the Employers and whose fees and costs shall be paid for by the Employers, shall make all determinations this Section 4(i) requires.</w:t>
      </w:r>
    </w:p>
    <w:p>
      <w:pPr>
        <w:spacing w:after="0" w:line="19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9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not, except as may be required to perform his duties hereunder or as required by applicable law, during the Employment Period and after employment ends (regardless of the reason), without limitation in time or until such information shall have become public other than by Executive’s unauthorized disclosure, disclose to others or use, whether directly or indirectly, any non-public confidential or proprietary information with respect to the Employers, including, without limitation, their business relationships, negotiations and past, present and prospective activities, methods of doing business, know-how, trade secrets, data, formulae, product designs and styles, product development plans, customer lists, investors, and all papers, resumes and records (including computer records) of the documents containing such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stipulates and agrees that as between Executive and the Employers the foregoing matters are important and that material and confidential proprietary information and trade secrets affect the successful conduct of the businesses of the Employers (and any successors or assignees of the Employers). Nothing about the foregoing shall preclude Executive from testifying truthfully in any forum or from providing truthful information, including, but not limited to, Confidential Information, to any government agency or commission. The term “Confidential Information” does not include information which (i) was already in Executive’s possession prior to the time of disclosure by or on behalf of the Employers, provided that such information was not furnished to Executive by a source known by Executive to be bound by a confidentiality agreement with, or other obligations of confidentiality in favor of, the Employers, (ii) was or becomes generally available to the public other than as a result of a disclosure by Executive in violation of this Agreement, (iii) becomes available to Executive on a non-confidential basis from a source other than the Employers, provided that such source is not known by Executive to be bound by a confidentiality agreement with, or other obligations of confidentiality in favor of, the Employers, or (iv) was or is independently developed by Executive without use of or reference to any Confidential Information.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1952"/>
        <w:spacing w:after="0" w:line="256" w:lineRule="auto"/>
        <w:tabs>
          <w:tab w:leader="none" w:pos="2771"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to deliver or return to the Employers, at the Employers’ written request, at any time or upon termination of his employment (regardless of the reason): (i) all documents, computer tapes and disks, records, lists, data, drawings, prints, notes and written information (and all copies thereof) furnished by or on behalf of or for the benefit of the Employers or prepared by Executive in connection with, and during the term of, his employment by the Employers, regardless of whether Confidential Information is contained therein, and (ii) all physical property of the Employers which Executive received in connection with Executive’s employment with the Employers including, without limitation, credit cards, passes, door and file keys, and computer hardware and software existing in tangible form.</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3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 Trade Secrets Act of 2016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provides that: An individual shall not be held criminally or civilly liable under any Federal or State trade secret law for the disclosure of a trade secret that: (A) is made –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The Act further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w:t>
      </w:r>
    </w:p>
    <w:p>
      <w:pPr>
        <w:spacing w:after="0" w:line="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disclose the trade secret, except pursuant to court order.</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0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represents and warrants to the Employers that, to the best of his knowledge, Executive took nothing with him which belonged to any former employer when Executive left his prior position and that Executive has nothing that contains any information which belongs to any former employer. If at any time Executive discovers this is incorrect, Executive shall promptly return any such materials to Executive’s former employer. The Employers do not want any such materials, and Executive shall not be permitted to use or refer to any such materials in the performance of Executive’s duties hereunder.</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Work Product and Intellectual Property, Inventions and Patents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252" w:val="left"/>
        </w:tabs>
        <w:numPr>
          <w:ilvl w:val="3"/>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shall include (A) all works, materials, ideas, innovations, inventions, discoveries, techniques, methods, processes, formulae, compositions, developments, improvements, technology, know-how, algorithms, data and data files, computer process systems, computer code, software, databases, hardware configuration information, research and development projects, experiments, trials, assays, lab books, test results, specifications, formats, designs, drawings, blueprints, sketches, artwork, graphics, documents, records, writings, reports, machinery, prototypes, models, sequences, and components; (B) all tangible and intangible embodiments of the foregoing, of any kind or format whatsoever, including in printed and electronic media; and (C) all Intellectual Property Rights (as defined below) associated with or related to the foregoing;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2600"/>
        <w:spacing w:after="0" w:line="258" w:lineRule="auto"/>
        <w:tabs>
          <w:tab w:leader="none" w:pos="32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Employers’ Work Product</w:t>
      </w:r>
      <w:r>
        <w:rPr>
          <w:rFonts w:ascii="Times New Roman" w:cs="Times New Roman" w:eastAsia="Times New Roman" w:hAnsi="Times New Roman"/>
          <w:sz w:val="18"/>
          <w:szCs w:val="18"/>
          <w:color w:val="auto"/>
        </w:rPr>
        <w:t>” shall include all Work Product that Executive partially or completely creates, makes, develops, discovers, derives, conceives, reduces to practice, authors, or fixes in a tangible medium of expression, whether solely or jointly with others and whether on or off the Employers’ premises, in connection with the Employers’ business, (A) while employed by the Employers, or (B) with the use of the time, materials, or facilities of the Employers, or (C) relating to any product, service, or activity of the Employers of which Executive has knowledge, or (D) suggested by or resulting from any work performed by Executive for the Employers; and</w:t>
      </w:r>
    </w:p>
    <w:p>
      <w:pPr>
        <w:spacing w:after="0" w:line="183" w:lineRule="exact"/>
        <w:rPr>
          <w:rFonts w:ascii="Times New Roman" w:cs="Times New Roman" w:eastAsia="Times New Roman" w:hAnsi="Times New Roman"/>
          <w:sz w:val="18"/>
          <w:szCs w:val="18"/>
          <w:color w:val="auto"/>
        </w:rPr>
      </w:pPr>
    </w:p>
    <w:p>
      <w:pPr>
        <w:jc w:val="both"/>
        <w:ind w:firstLine="2600"/>
        <w:spacing w:after="0" w:line="256" w:lineRule="auto"/>
        <w:tabs>
          <w:tab w:leader="none" w:pos="31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worldwide rights, title, or interest existing now or in the future under patent law, trademark law, copyright law, industrial rights design law, moral rights law, trade secret law, and any and all similar proprietary rights, however denominated, and any and all continuations, continuations-in-part, divisions, renewals, reissue, reexaminations, extensions and/or restorations thereof, now or hereafter in force and effect, including without limitation all patents, patent applications, industrial rights, mask works rights, trademarks, trademark applications, trade names, slogans, logos, service marks and other marks, copyrightable material, copyrights, copyright applications, moral rights, trade secrets, and trade dress.</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all Employers’ Work Product is and shall belong to the Employers. Executive shall and hereby does irrevocably assign and transfer to the Employers all of Executive’s right, title, and interest in and to all Employers’ Work Product, which assignment shall be effective as of the moment of creation of such Employers’ Work Product without requiring any additional actions of the parties.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copyrightable material included in Employers’ Work Product that qualifies as a “work made for hire” under the U.S. Copyright Act is deemed a “work made for hire” created for and owned exclusively by the Employers, and the Employers shall be deemed the owner of the copyright and all other Intellectual Property Rights associated therewith.</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6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of the rights, title, and interest in and to Employers’ Work Product cannot be assigned by Executive to the Employers, Executive hereby grants to the Employers a perpetual, exclusive, royalty-free, transferable, assignable, irrevocable, worldwide license (with rights to sublicense through multiple tiers of sublicensees) to practice such non-assignable rights, title, and interest. To the extent any of the rights, title, and interest in and to Employers’ Work Product can neither be assigned nor licensed by Executive to the Employers, Executive hereby irrevocably waives and agrees never to assert such non-assignable and non-licensable rights, title, and interest against the Employers, or their directors, managers, officers, agents, employees, contractors, successors, or assigns. For the avoidance of doubt, this Section 6(d) shall not apply to any Work Product that (i) does not relate, at the time of creation, making, development, discovery, derivation, conception, reduction to practice, authoring, or fixation in a tangible medium of expression of such Work Product, to the Employers’ business or actual or demonstrably anticipated research, development or business; (ii) was developed entirely on Executive’s own time; (iii) was developed without use of any of the Employers’ equipment, supplies, facilities, or trade secret information; and (iv) did not result from any work Executive performed for the Employers.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both"/>
        <w:ind w:firstLine="1952"/>
        <w:spacing w:after="0" w:line="253" w:lineRule="auto"/>
        <w:tabs>
          <w:tab w:leader="none" w:pos="28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during and after Executive’s employment, to perform and to assist the Employers and their successors, assigns, delegates, nominees, and legal representatives with all acts that the Employers deem necessary or desirable to permit and assist the Employers in applying for, obtaining, perfecting, protecting, and enforcing the full benefits, enjoyment, rights, and title throughout the world of the Employers in and to all Employers’ Work Product, which acts and assistance may include, without limitation, the signing and execution of documents and assistance or cooperation in the filing, prosecution, registration, and memorialization of assignment of any applicable Intellectual Property Rights; acts pertaining to the enforcement of any applicable Intellectual Property Rights; and acts pertaining to other legal proceedings related to Employers’ Work Product. If the Employers are unable for any reason to secure Executive’s signature to any document that the Employers deem necessary or desirable to permit and assist the Employers in applying for, obtaining, perfecting, protecting, and enforcing the full benefits, enjoyment, rights and title throughout the world of the Employers in and to all Employers’ Work Product, Executive hereby irrevocably designates and appoints the Employers, their officers, and managers as Executive’s attorney in fact to sign and execute such documents in Executive’s name, all with the same legal force and effect as if executed by Executive. This designation of power of attorney is a power coupled with an interest and is irrevocable. Executive will not retain any proprietary interest in any Employers’ Work Product and shall not register, file, seek to obtain, or obtain any Intellectual Property Rights covering any Employers’ Work Product in his own name.</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5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Employers, Executive agrees to disclose and describe to the Employers promptly and in writing to the Employers all Employers’ Work Product to which the Employers are entitled as provided above. Executive shall deliver all Employers’ Work Product in Executive’s possession whenever the Employers so request in writing, and, in any event, upon the written request of the Employers, prior to or upon Executive’s termination of employment. After the Employers confirm receipt of Employers’ Work Product, Executive shall delete or destroy all Employers’ Work Product in Executive’s possession whenever the Employers so requests in writing and at the Employers’ reasonable direction, without retaining any copies thereof, and, in any event, prior to or upon Executive’s termination of employment.</w:t>
      </w:r>
    </w:p>
    <w:p>
      <w:pPr>
        <w:spacing w:after="0" w:line="18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Executive’s obligations under Section 5, Executive shall hold in the strictest confidence, and will not disclose, furnish or make accessible to any person or entity (directly or indirectly) Employers’ Work Product, except as required in accordance with Executive’s duties as an employee of the Employers.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1952"/>
        <w:spacing w:after="0" w:line="253" w:lineRule="auto"/>
        <w:tabs>
          <w:tab w:leader="none" w:pos="27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Employers, Executive agrees to disclose promptly in writing to the Employers’ all Work Product created, made, developed, discovered, derived, conceived, reduced to practice, authored, or fixed in a tangible medium of expression by Executive for six (6) months after the termination of employment with the Employers, whether or not Executive believes such Work Product is subject to this Agreement, to permit a determination by the Employers as to whether or not the Work Product is or should be the property of the Employers. Executive recognizes that Work Product or Confidential Information relating to Executive’s activities while working for the Employers and created, made, developed, discovered, derived, conceived, reduced to practice, authored, or fixed in a tangible medium of expression by Executive, alone or with others, within six (6) months after termination of Executive’s employment with the Employers, may have been so created, made, developed, discovered, derived, conceived, reduced to practice, authored, or fixed in a tangible medium of expression by Executive in significant part while employed by the Employers. Accordingly, Executive agrees that such Work Product and Confidential Information shall be presumed to have been created, made, developed, discovered, derived, conceived, reduced to practice, authored, or fixed in a tangible medium of expression during Executive’s employment with the Employers and are to be promptly disclosed and assigned to the Employers unless and until Executive establishes the contrary by written evidence satisfying a clear and convincing evidence standard of proof.</w:t>
      </w:r>
    </w:p>
    <w:p>
      <w:pPr>
        <w:spacing w:after="0" w:line="18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Executive shall not be entitled to any additional or special compensation or reimbursement in fulfilling his obligations under this Section 6, except that the Employers, shall reimburse Executive for any reasonable out of pocket expenses which Executive may incur on behalf of the Employers.</w:t>
      </w:r>
    </w:p>
    <w:p>
      <w:pPr>
        <w:spacing w:after="0" w:line="17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Non-Disparagement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term “</w:t>
      </w:r>
      <w:r>
        <w:rPr>
          <w:rFonts w:ascii="Times New Roman" w:cs="Times New Roman" w:eastAsia="Times New Roman" w:hAnsi="Times New Roman"/>
          <w:sz w:val="18"/>
          <w:szCs w:val="18"/>
          <w:u w:val="single" w:color="auto"/>
          <w:color w:val="auto"/>
        </w:rPr>
        <w:t>Competitive Enterprise</w:t>
      </w:r>
      <w:r>
        <w:rPr>
          <w:rFonts w:ascii="Times New Roman" w:cs="Times New Roman" w:eastAsia="Times New Roman" w:hAnsi="Times New Roman"/>
          <w:sz w:val="18"/>
          <w:szCs w:val="18"/>
          <w:color w:val="auto"/>
        </w:rPr>
        <w:t>” shall mean any insurance company, insurance holding company or any such entities in the process of organization or application for state regulatory approval and shall also include other entities that offer services or products competitive with the services or products which the Employers or their respective subsidiaries or affiliates currently offer or may in the future offer.</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and for a period of two (2) years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immediately following Executive’s separation of employment under this Agreement for any reason, Executive shall not, in any way, directly or indirectly, solicit, divert or contact any existing or potential customer of the Employers or any of their respective subsidiaries or affiliates that Executive solicited, became aware of, transacted business with, or performed services for during the Employers’ employment of Executive for the purpose of selling any services or products that compete with the services or products the Employers or their respective subsidiaries and affiliates currently offer or in the future, may offer, or solicit or assist in the employment of any employee of the Employers or their respective subsidiaries or affiliates for the purpose of becoming an employee of or otherwise provide services for any Competitive Enterprise.</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67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and thereafter, Executive shall not make any negative or disparaging statements or communications regarding the Employers, their personnel or operations.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4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enforcement of Sections 5, 6 or 7 of this Agreement, a court shall hold that the duration, scope or geographical area restrictions stated herein are unreasonable under circumstances then existing, the parties hereto agree that the maximum duration, scope or geographical area reasonable under such circumstances shall be substituted for the stated duration, scope or area and that the court shall be allowed to revise the restrictions contained herein to cover the maximum period, scope and area permitted by law.</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1952"/>
        <w:spacing w:after="0" w:line="253" w:lineRule="auto"/>
        <w:tabs>
          <w:tab w:leader="none" w:pos="25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Executive’s compliance with Sections 5, 6 and 7 of this Agreement is necessary to protect the goodwill, customer relations, trade secrets, confidential information and other proprietary and legitimate business interests of the Employers. Executive acknowledges that any breach of any of these covenants will result in irreparable and continuing damage to the Employers’ business for which there will be no adequate remedy at law and Executive agrees that, in the event of any such breach of the aforesaid covenants, the Employers and their successors and assigns shall be entitled to seek injunctive relief and to such other and further relief as may be available at law or in equity. Accordingly, Executive expressly agrees that upon any breach, or threatened breach, of the terms of this Agreement, the Employers shall be entitled, as a matter of right, in any court of competent jurisdiction in equity or otherwise to enforce the specific performance of Executive’s obligations under this Agreement, to obtain temporary and permanent injunctive relief without the necessity of proving actual damage to the Employers or the inadequacy of a legal remedy. In the event a court orders the Employers to post a bond in order to obtain such injunctive relief for a claim under this Agreement, Executive agrees that the Employers will be required to post only a nominal bond. The rights conferred upon the Employers in this paragraph shall not be exclusive of any other rights or remedies that the Employers may have at law, in equity or otherwise.</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materially violates any of the covenants in this Agreement and the Employers commence legal action for injunctive or other relief, then the Employers shall have the benefit of the full period of the covenants such that the covenants shall have the duration of two (2) years computed from the date Executive ceased violation of the covenants, either by order of the court or otherwise.</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0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and agrees that the restrictive covenants contained herein: (i) are necessary for the reasonable and proper protection of the goodwill of the Employers and their trade secrets, proprietary data and confidential information; (ii) are reasonable with respect to length of time, scope and geographic area; and (iii) will not prohibit Executive from engaging in other businesses or employment for the purpose of earning a livelihood following the termination of his relationship with the Employers.</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materially breaches the general release provided for in Section 4(c) or any provision of Sections 5, 6 and 7</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 (i) the Employers shall no longer be obligated to make any payments or provide any other benefits pursuant to Section 4; and (ii) as applicable, Executive shall forfeit all of the Severance Benefits previously provided to Executive and/or the Employers shall be entitled to reimbursement of any Severance Benefits made to Executive.</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Representations</w:t>
      </w:r>
      <w:r>
        <w:rPr>
          <w:rFonts w:ascii="Times New Roman" w:cs="Times New Roman" w:eastAsia="Times New Roman" w:hAnsi="Times New Roman"/>
          <w:sz w:val="18"/>
          <w:szCs w:val="18"/>
          <w:color w:val="auto"/>
        </w:rPr>
        <w:t>. Executive hereby represents and warrants to the Employers that to the best of his knowledge: (a) the execution, delivery and performance of this Agreement by Executive do not and shall not conflict with, breach, violate or cause a default under any contract, agreement, instrument, order, judgment or decree to which Executive is a party or by which he is bound; (b) Executive is not a party to or bound by any employment agreement, non-compete agreement or confidentiality agreement with any other person or entity; (c) upon the execution and delivery of this Agreement by the Employers, this Agreement shall be the valid and binding obligation of Executive, enforceable in accordance with its terms; and (d) Executive is authorized to work in the United States without restriction. Executive hereby acknowledges and represents that he has consulted with independent legal counsel regarding his rights and obligations under this Agreement and that he fully understands the terms and conditions contained herein.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firstLine="1304"/>
        <w:spacing w:after="0" w:line="282" w:lineRule="auto"/>
        <w:tabs>
          <w:tab w:leader="none" w:pos="22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Sections 4 through 21, inclusive, shall survive and continue in full force in accordance with their terms notwithstanding the termination of the Employment Period.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provided for in this Agreement shall be in writing and shall be either personally delivered, sent by reputable overnight courier service or mailed by first class mail, return receipt requested, to the recipient at the address below indicated: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Notices to Executive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1195 River Road, P.O. Box 302, Marietta, PA 17547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or at his home address as most currently appears in the records of the Employers with a copy by email to _________________</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Notices to the Employers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Donegal Mutual Insurance Company</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Vice President, Human Resources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1195 River Road, P.O. Box 302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Marietta, PA 17547</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162" w:lineRule="exact"/>
        <w:rPr>
          <w:sz w:val="20"/>
          <w:szCs w:val="20"/>
          <w:color w:val="auto"/>
        </w:rPr>
      </w:pPr>
    </w:p>
    <w:p>
      <w:pPr>
        <w:jc w:val="both"/>
        <w:ind w:firstLine="1304"/>
        <w:spacing w:after="0" w:line="258" w:lineRule="auto"/>
        <w:tabs>
          <w:tab w:leader="none" w:pos="19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those documents expressly referred to herein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but not limited to, superseding and preempting the Executive’s prior employment agreements, if any, with Employer).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3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(including by means of telecopied signature pages or electronic transmission in portable document format (.pdf)), each of which is deemed to be an original and all of which taken together constitute one and the same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1304"/>
        <w:spacing w:after="0" w:line="256" w:lineRule="auto"/>
        <w:tabs>
          <w:tab w:leader="none" w:pos="1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including, but not limited to, the terms and conditions in Sections 5, 6 and 7, shall inure to the benefit of, and be binding upon, the heirs, executors, administrators, successors and assigns of the respective parties hereto, but in no event may Executive assign or delegate to any other party Executive’s rights, duties or obligations under this Agreement. Executive further hereby consents and agrees that the Employers may assign this Agreement (including, but not limited to, Sections 5, 6 and 7) and any of the rights or obligations hereunder to any third party in connection with the sale, merger, consolidation, reorganization, liquidation or transfer, in whole or in part, of the Employers’ control and/or ownership of their assets or business. In such event, Executive agrees to continue to be bound by the terms of this Agreement, subject to its terms.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Law/Choice of Forum</w:t>
      </w:r>
      <w:r>
        <w:rPr>
          <w:rFonts w:ascii="Times New Roman" w:cs="Times New Roman" w:eastAsia="Times New Roman" w:hAnsi="Times New Roman"/>
          <w:sz w:val="18"/>
          <w:szCs w:val="18"/>
          <w:color w:val="auto"/>
        </w:rPr>
        <w:t>. All issues and questions concerning the construction, validity, enforcement and interpretation of this Agreement shall be governed by, and construed in accordance with, the laws of the Commonwealth of Pennsylvania, without giving effect to any choice of law or conflict of law rules or provisions (whether of the Commonwealth of Pennsylvania or any other jurisdiction) that would cause the application of the laws of any jurisdiction other than Commonwealth of Pennsylvania.</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Executive shall not be required to mitigate the amount of any payment provided for in this Agreement by seeking other employment or otherwise, nor shall the amount of any payment or benefit provided for in this Agreement be reduced by any compensation Executive earns as the result of employment by another employer or by retirement benefits payable after the termination of this Agreement, except that the Employers shall not be required to provide Executive and Executive’s eligible dependents with medical insurance coverage as long as Executive and Executive’s eligible dependents are receiving comparable medical insurance coverage from another employer.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or waived only with the prior written consent of the Employers and Executive, and no course of conduct or course of dealing or failure or delay by any party hereto in enforcing or exercising any of the provisions of this Agreement (including, without limitation, the Employers’ right to terminate the Employment Period with or without Cause) shall affect the validity, binding effect or enforceability of this Agreement or be deemed to be an implied waiver of any provision of this Agreement.</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As a specifically bargained for inducement for each of the parties hereto to enter into this Agreement</w:t>
      </w:r>
    </w:p>
    <w:p>
      <w:pPr>
        <w:spacing w:after="0" w:line="27"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HAVING THE OPPORTUNITY TO CONSULT WITH COUNSEL), EACH PARTY HERETO EXPRESSLY WAIVES THE RIGHT TO TRIAL BY JURY IN ANY LAWSUIT OR PROCEEDING RELATING TO OR ARISING IN ANY WAY FROM THIS AGREEMENT OR THE MATTERS CONTEMPLATED HEREBY.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304"/>
        <w:spacing w:after="0" w:line="253" w:lineRule="auto"/>
        <w:tabs>
          <w:tab w:leader="none" w:pos="20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Cooperation</w:t>
      </w:r>
      <w:r>
        <w:rPr>
          <w:rFonts w:ascii="Times New Roman" w:cs="Times New Roman" w:eastAsia="Times New Roman" w:hAnsi="Times New Roman"/>
          <w:sz w:val="18"/>
          <w:szCs w:val="18"/>
          <w:color w:val="auto"/>
        </w:rPr>
        <w:t>. During the Employment Period and thereafter, Executive shall reasonably cooperate with the Employers in any internal investigation or administrative, regulatory or judicial proceeding as reasonably requested by the Employers (including, without limitation, Executive’s being reasonably available to the Employers upon reasonable notice for interviews and factual investigations, appearing at the Employers’ reasonable request to give testimony without requiring service of a subpoena or other legal process, volunteering to the Employers all pertinent information and turning over to the Employers all relevant documents which are or may come into Executive’s possession, all at times and on schedules that are reasonably consistent with Executive’s other permitted activities and commitments) at reasonable times. In the event the Employers require Executive’s cooperation in accordance with this Section 20 after termination of his employment with the Employers (regardless of the reason) and to the extent Executive is no longer entitled to any payments under this Agreement, including, but not limited to Severance Payments, the Employers shall compensate Executive on an hourly basis for his time spent on the foregoing (including, but not limited to, any travel time) calculated based off of Executive’s Base Salary immediately prior to the termination of his employment with the Employers divided by two thousand eighty (2,080), and reimburse Executive for reasonable travel and other expenses (including, but not limited to, lodging and meals, upon submission of receipts). Nothing about the foregoing shall interfere with Executive’s obligation to testifying truthfully in any forum or from providing truthful information, including, but not limited to, Confidential Information, to any government agency or commission.</w:t>
      </w:r>
    </w:p>
    <w:p>
      <w:pPr>
        <w:spacing w:after="0" w:line="18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409A Compliance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7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Employers and Executive intend that this Agreement be drafted and administered in compliance with Section 409A of the Code, including, but not limited to, any future amendments thereto, and any other IRS or other governmental rulings or interpretations (together,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issued pursuant to Section 409A so as not to subject Executive to payment of interest or any additional tax under Section 409A. The Employers and Executive intend for any payments under this Agreement to satisfy either the requirements of Section 409A or to be exempt from the application of Section 409A, and the Employers and Executive shall construe and interpret this Agreement accordingly. In furtherance of such intent, if payment or provision of any amount or benefit under this Agreement that is subject to Section 409A at the time specified in this Agreement would subject such amount or benefit to any additional tax under Section 409A, the Employers shall postpone payment or provision of such amount or benefit to the earliest commencement date on which the Employers can make such payment or provision of such amount or benefit without incurring such additional tax. In addition, to the extent that any IRS guidance issued under Section 409A would result in Executive being subject to the payment of interest or any additional tax under Section 409A, the Employers and Executive agree, to the extent reasonably possible, to amend this Agreement in order to avoid the imposition of any such interest or additional tax under Section 409A. Any such amendment shall have the minimum economic effect necessary and be determined reasonably and in good faith by the Employers and Executive.</w:t>
      </w:r>
    </w:p>
    <w:p>
      <w:pPr>
        <w:spacing w:after="0" w:line="18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under this Agreement does not qualify as a short-term deferral under Section 409A or any similar or successor provisions, and Executive is a Specified Employee as of Executive’s Termination Date, the Employers may not make such distributions to Executive before a date that is six months after the date of Executive’s Termination Date or, if earlier, the date of Executive’s death (the “</w:t>
      </w:r>
      <w:r>
        <w:rPr>
          <w:rFonts w:ascii="Times New Roman" w:cs="Times New Roman" w:eastAsia="Times New Roman" w:hAnsi="Times New Roman"/>
          <w:sz w:val="18"/>
          <w:szCs w:val="18"/>
          <w:u w:val="single" w:color="auto"/>
          <w:color w:val="auto"/>
        </w:rPr>
        <w:t>Six-Month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The Employers shall accumulate payments to which Executive would otherwise be entitled during the first six months following the Termination Date (the “</w:t>
      </w:r>
      <w:r>
        <w:rPr>
          <w:rFonts w:ascii="Times New Roman" w:cs="Times New Roman" w:eastAsia="Times New Roman" w:hAnsi="Times New Roman"/>
          <w:sz w:val="18"/>
          <w:szCs w:val="18"/>
          <w:u w:val="single" w:color="auto"/>
          <w:color w:val="auto"/>
        </w:rPr>
        <w:t>Six-Month Delay Period</w:t>
      </w:r>
      <w:r>
        <w:rPr>
          <w:rFonts w:ascii="Times New Roman" w:cs="Times New Roman" w:eastAsia="Times New Roman" w:hAnsi="Times New Roman"/>
          <w:sz w:val="18"/>
          <w:szCs w:val="18"/>
          <w:color w:val="auto"/>
        </w:rPr>
        <w:t>”) and make such payments on the first day of the seventh month following Executive’s Termination Date. Notwithstanding the Six-Month Delay set forth in this Section 21(b):</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left="660" w:firstLine="1940"/>
        <w:spacing w:after="0" w:line="255" w:lineRule="auto"/>
        <w:tabs>
          <w:tab w:leader="none" w:pos="32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Section 409A or any similar or successor provisions permit, during each month of the Six-Month Delay Period, the Employers will pay Executive an amount equal to the lesser of (A) the total monthly Severance Benefits or (B) one-sixth of the lesser of (1) the maximum amount that Section 401(a)(17) permits to be taken into account under a qualified plan for the year in which Executive’s Termination Date occurs and (2) the sum of Executive’s annualized compensation based upon the annual rate of pay for services provided to the Employers for the taxable year of Executive preceding the taxable year of Executive in which Executive’s Termination Date occurs, adjusted for any increase during that year that the parties expected to continue indefinitely if Executive’s Termination Date has not occurred; and</w:t>
      </w:r>
    </w:p>
    <w:p>
      <w:pPr>
        <w:spacing w:after="0" w:line="188" w:lineRule="exact"/>
        <w:rPr>
          <w:rFonts w:ascii="Times New Roman" w:cs="Times New Roman" w:eastAsia="Times New Roman" w:hAnsi="Times New Roman"/>
          <w:sz w:val="18"/>
          <w:szCs w:val="18"/>
          <w:color w:val="auto"/>
        </w:rPr>
      </w:pPr>
    </w:p>
    <w:p>
      <w:pPr>
        <w:jc w:val="both"/>
        <w:ind w:firstLine="2600"/>
        <w:spacing w:after="0" w:line="266" w:lineRule="auto"/>
        <w:tabs>
          <w:tab w:leader="none" w:pos="34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maximum extent Section 409A, or any similar or successor provisions, permits within ten days following Executive’s Termination Date, the Employers shall pay Executive an amount equal to the applicable dollar amount under Section 402(g)(1)(B) for the year in which Executive’s Termination Date occurred.</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30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has the meaning given that term in Section 409A or any similar or successor provisions. The Employers’ “specified employee identification date” as described in Section 409A will be December 31 of each year, and the Employers’ “specified employee effective date” as described in Section 409A will be February 1 of each succeeding year.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Section 409A, (i) all such expenses or other reimbursements hereunder shall be made on or prior to the last day of the taxable year following the taxable year in which such expenses were incurred by Executive, (ii) any such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62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Executive’s right to receive any installment payments pursuant to this Agreement shall be treated as a right to receive a series of separate and distinct payments.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952"/>
        <w:spacing w:after="0" w:line="266" w:lineRule="auto"/>
        <w:tabs>
          <w:tab w:leader="none" w:pos="26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Employment Agreement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DONEGAL MUTUAL INSURANCE COMPANY</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DONEGAL GROUP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317500</wp:posOffset>
            </wp:positionV>
            <wp:extent cx="355727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26035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drawing>
          <wp:anchor simplePos="0" relativeHeight="251657728" behindDoc="1" locked="0" layoutInCell="0" allowOverlap="1">
            <wp:simplePos x="0" y="0"/>
            <wp:positionH relativeFrom="column">
              <wp:posOffset>3366135</wp:posOffset>
            </wp:positionH>
            <wp:positionV relativeFrom="paragraph">
              <wp:posOffset>-127635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Executive</w:t>
      </w:r>
    </w:p>
    <w:p>
      <w:pPr>
        <w:spacing w:after="0" w:line="39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auto"/>
        </w:rPr>
        <w:t>Schedule of Information Included in Employment Agreements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Except as noted below, all of our executive officers other than Kevin G. Burke and Jeffrey D. Miller entered into this form of employment agreement on October 1, 2020. Therefore, we have filed only this form of employment agreement as an exhibit to the Quarterly Report on Form 10-Q for the period ended March 31, 2025. We list below material information in the respective employment agreement for each of our executive officers other than Kevin G. Burke and Jeffrey D. Miller that differs from this form of employment agreement.</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540" w:type="dxa"/>
            <w:vAlign w:val="bottom"/>
            <w:tcBorders>
              <w:top w:val="single" w:sz="8" w:color="auto"/>
              <w:left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2900" w:type="dxa"/>
            <w:vAlign w:val="bottom"/>
            <w:tcBorders>
              <w:top w:val="single" w:sz="8" w:color="auto"/>
              <w:right w:val="single" w:sz="8" w:color="auto"/>
            </w:tcBorders>
          </w:tcPr>
          <w:p>
            <w:pPr>
              <w:spacing w:after="0"/>
              <w:rPr>
                <w:sz w:val="19"/>
                <w:szCs w:val="19"/>
                <w:color w:val="auto"/>
              </w:rPr>
            </w:pP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Annual Base</w:t>
            </w:r>
          </w:p>
        </w:tc>
      </w:tr>
      <w:tr>
        <w:trPr>
          <w:trHeight w:val="241"/>
        </w:trPr>
        <w:tc>
          <w:tcPr>
            <w:tcW w:w="3540" w:type="dxa"/>
            <w:vAlign w:val="bottom"/>
            <w:tcBorders>
              <w:left w:val="single" w:sz="8" w:color="auto"/>
              <w:bottom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2900" w:type="dxa"/>
            <w:vAlign w:val="bottom"/>
            <w:tcBorders>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Donegal Mutual Title</w:t>
            </w:r>
          </w:p>
        </w:tc>
        <w:tc>
          <w:tcPr>
            <w:tcW w:w="29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DGI Title</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Salary</w:t>
            </w:r>
          </w:p>
        </w:tc>
      </w:tr>
      <w:tr>
        <w:trPr>
          <w:trHeight w:val="198"/>
        </w:trPr>
        <w:tc>
          <w:tcPr>
            <w:tcW w:w="354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Kristi S. Altshuler</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1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$325,000</w:t>
            </w:r>
          </w:p>
        </w:tc>
      </w:tr>
      <w:tr>
        <w:trPr>
          <w:trHeight w:val="241"/>
        </w:trPr>
        <w:tc>
          <w:tcPr>
            <w:tcW w:w="3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Analytics Officer</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Analytics Officer</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8"/>
        </w:trPr>
        <w:tc>
          <w:tcPr>
            <w:tcW w:w="35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David B. Bawel (4)</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1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$260,000</w:t>
            </w:r>
          </w:p>
        </w:tc>
      </w:tr>
      <w:tr>
        <w:trPr>
          <w:trHeight w:val="241"/>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Accounting Officer</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Accounting Officer</w:t>
            </w:r>
          </w:p>
        </w:tc>
        <w:tc>
          <w:tcPr>
            <w:tcW w:w="1900" w:type="dxa"/>
            <w:vAlign w:val="bottom"/>
            <w:tcBorders>
              <w:bottom w:val="single" w:sz="8" w:color="auto"/>
              <w:right w:val="single" w:sz="8" w:color="auto"/>
            </w:tcBorders>
          </w:tcPr>
          <w:p>
            <w:pPr>
              <w:spacing w:after="0"/>
              <w:rPr>
                <w:sz w:val="20"/>
                <w:szCs w:val="20"/>
                <w:color w:val="auto"/>
              </w:rPr>
            </w:pPr>
          </w:p>
        </w:tc>
      </w:tr>
      <w:tr>
        <w:trPr>
          <w:trHeight w:val="198"/>
        </w:trPr>
        <w:tc>
          <w:tcPr>
            <w:tcW w:w="354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Noland R. Deas, Jr. (4)</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of Field</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w:t>
            </w:r>
          </w:p>
        </w:tc>
        <w:tc>
          <w:tcPr>
            <w:tcW w:w="1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$335,000</w:t>
            </w:r>
          </w:p>
        </w:tc>
      </w:tr>
      <w:tr>
        <w:trPr>
          <w:trHeight w:val="241"/>
        </w:trPr>
        <w:tc>
          <w:tcPr>
            <w:tcW w:w="3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Operations and National Accounts</w:t>
            </w:r>
          </w:p>
        </w:tc>
        <w:tc>
          <w:tcPr>
            <w:tcW w:w="2900" w:type="dxa"/>
            <w:vAlign w:val="bottom"/>
            <w:tcBorders>
              <w:bottom w:val="single" w:sz="8" w:color="auto"/>
              <w:right w:val="single" w:sz="8" w:color="auto"/>
            </w:tcBorders>
            <w:shd w:val="clear" w:color="auto" w:fill="CCEEFF"/>
          </w:tcPr>
          <w:p>
            <w:pPr>
              <w:spacing w:after="0"/>
              <w:rPr>
                <w:sz w:val="20"/>
                <w:szCs w:val="20"/>
                <w:color w:val="auto"/>
              </w:rPr>
            </w:pP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8"/>
        </w:trPr>
        <w:tc>
          <w:tcPr>
            <w:tcW w:w="35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W. Daniel DeLamater (1)</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Field</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w:t>
            </w:r>
          </w:p>
        </w:tc>
        <w:tc>
          <w:tcPr>
            <w:tcW w:w="1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$350,000</w:t>
            </w:r>
          </w:p>
        </w:tc>
      </w:tr>
      <w:tr>
        <w:trPr>
          <w:trHeight w:val="241"/>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Operations and National Accounts</w:t>
            </w:r>
          </w:p>
        </w:tc>
        <w:tc>
          <w:tcPr>
            <w:tcW w:w="29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223"/>
        </w:trPr>
        <w:tc>
          <w:tcPr>
            <w:tcW w:w="354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William A. Folmar</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 Claims</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Vice President</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$290,000</w:t>
            </w:r>
          </w:p>
        </w:tc>
      </w:tr>
      <w:tr>
        <w:trPr>
          <w:trHeight w:val="198"/>
        </w:trPr>
        <w:tc>
          <w:tcPr>
            <w:tcW w:w="35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Jeffrey T. Hay (2)</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w:t>
            </w:r>
          </w:p>
        </w:tc>
        <w:tc>
          <w:tcPr>
            <w:tcW w:w="1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$425,000</w:t>
            </w:r>
          </w:p>
        </w:tc>
      </w:tr>
      <w:tr>
        <w:trPr>
          <w:trHeight w:val="241"/>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Underwriting Officer</w:t>
            </w:r>
          </w:p>
        </w:tc>
        <w:tc>
          <w:tcPr>
            <w:tcW w:w="29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r>
      <w:tr>
        <w:trPr>
          <w:trHeight w:val="198"/>
        </w:trPr>
        <w:tc>
          <w:tcPr>
            <w:tcW w:w="354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Rick J. Hecker (4)</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General</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General</w:t>
            </w:r>
          </w:p>
        </w:tc>
        <w:tc>
          <w:tcPr>
            <w:tcW w:w="1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$250,000</w:t>
            </w:r>
          </w:p>
        </w:tc>
      </w:tr>
      <w:tr>
        <w:trPr>
          <w:trHeight w:val="241"/>
        </w:trPr>
        <w:tc>
          <w:tcPr>
            <w:tcW w:w="3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Counsel</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Counsel</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198"/>
        </w:trPr>
        <w:tc>
          <w:tcPr>
            <w:tcW w:w="354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Christina M. Hoffman</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Risk</w:t>
            </w:r>
          </w:p>
        </w:tc>
        <w:tc>
          <w:tcPr>
            <w:tcW w:w="290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 Risk</w:t>
            </w:r>
          </w:p>
        </w:tc>
        <w:tc>
          <w:tcPr>
            <w:tcW w:w="190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$305,000</w:t>
            </w:r>
          </w:p>
        </w:tc>
      </w:tr>
      <w:tr>
        <w:trPr>
          <w:trHeight w:val="241"/>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900" w:type="dxa"/>
            <w:vAlign w:val="bottom"/>
            <w:tcBorders>
              <w:bottom w:val="single" w:sz="8" w:color="auto"/>
              <w:right w:val="single" w:sz="8" w:color="auto"/>
            </w:tcBorders>
          </w:tcPr>
          <w:p>
            <w:pPr>
              <w:spacing w:after="0"/>
              <w:rPr>
                <w:sz w:val="20"/>
                <w:szCs w:val="20"/>
                <w:color w:val="auto"/>
              </w:rPr>
            </w:pPr>
          </w:p>
        </w:tc>
      </w:tr>
      <w:tr>
        <w:trPr>
          <w:trHeight w:val="198"/>
        </w:trPr>
        <w:tc>
          <w:tcPr>
            <w:tcW w:w="354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Sanjay Pandey</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1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$425,000</w:t>
            </w:r>
          </w:p>
        </w:tc>
      </w:tr>
      <w:tr>
        <w:trPr>
          <w:trHeight w:val="241"/>
        </w:trPr>
        <w:tc>
          <w:tcPr>
            <w:tcW w:w="3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Information Officer</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Information Officer</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35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W. Sponic (3)</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 Personal Lines</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$260,000</w:t>
            </w:r>
          </w:p>
        </w:tc>
      </w:tr>
      <w:tr>
        <w:trPr>
          <w:trHeight w:val="198"/>
        </w:trPr>
        <w:tc>
          <w:tcPr>
            <w:tcW w:w="3540" w:type="dxa"/>
            <w:vAlign w:val="bottom"/>
            <w:tcBorders>
              <w:left w:val="single" w:sz="8" w:color="auto"/>
              <w:right w:val="single" w:sz="8" w:color="auto"/>
            </w:tcBorders>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V. Anthony Viozzi</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2900" w:type="dxa"/>
            <w:vAlign w:val="bottom"/>
            <w:tcBorders>
              <w:right w:val="single" w:sz="8" w:color="auto"/>
            </w:tcBorders>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Senior Vice President and Chief</w:t>
            </w:r>
          </w:p>
        </w:tc>
        <w:tc>
          <w:tcPr>
            <w:tcW w:w="1900" w:type="dxa"/>
            <w:vAlign w:val="bottom"/>
            <w:tcBorders>
              <w:right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$330,000</w:t>
            </w:r>
          </w:p>
        </w:tc>
      </w:tr>
      <w:tr>
        <w:trPr>
          <w:trHeight w:val="241"/>
        </w:trPr>
        <w:tc>
          <w:tcPr>
            <w:tcW w:w="354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Officer</w:t>
            </w:r>
          </w:p>
        </w:tc>
        <w:tc>
          <w:tcPr>
            <w:tcW w:w="29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Investment Officer</w:t>
            </w:r>
          </w:p>
        </w:tc>
        <w:tc>
          <w:tcPr>
            <w:tcW w:w="190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3"/>
        </w:trPr>
        <w:tc>
          <w:tcPr>
            <w:tcW w:w="35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Daniel J. Wagner</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 and Treasurer</w:t>
            </w:r>
          </w:p>
        </w:tc>
        <w:tc>
          <w:tcPr>
            <w:tcW w:w="29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Senior Vice President and Treasurer</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$405,000</w:t>
            </w:r>
          </w:p>
        </w:tc>
      </w:tr>
    </w:tbl>
    <w:p>
      <w:pPr>
        <w:spacing w:after="0" w:line="198" w:lineRule="exact"/>
        <w:rPr>
          <w:sz w:val="20"/>
          <w:szCs w:val="20"/>
          <w:color w:val="auto"/>
        </w:rPr>
      </w:pPr>
    </w:p>
    <w:p>
      <w:pPr>
        <w:ind w:right="280" w:firstLine="8"/>
        <w:spacing w:after="0" w:line="282" w:lineRule="auto"/>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DeLamater entered into this form of employment agreement on January 1, 2023. Mr. DeLamater was promoted to Executive Vice President and Chief Operating Officer of Donegal Mutual and DGI effective January 1, 2024.</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Hay entered into this form of employment agreement on January 1, 2022.</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Sponic entered into this form of employment agreement on January 1, 2023.</w:t>
      </w:r>
    </w:p>
    <w:p>
      <w:pPr>
        <w:spacing w:after="0" w:line="225"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Bawel, Deas and Hecker entered into this form of employment agreement on January 1, 2025.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Kevin G. Burke, certify that:</w:t>
      </w:r>
    </w:p>
    <w:p>
      <w:pPr>
        <w:spacing w:after="0" w:line="207" w:lineRule="exact"/>
        <w:rPr>
          <w:sz w:val="20"/>
          <w:szCs w:val="20"/>
          <w:color w:val="auto"/>
        </w:rPr>
      </w:pPr>
    </w:p>
    <w:p>
      <w:pPr>
        <w:ind w:left="420" w:hanging="187"/>
        <w:spacing w:after="0"/>
        <w:tabs>
          <w:tab w:leader="none" w:pos="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Donegal Group Inc.;</w:t>
      </w:r>
    </w:p>
    <w:p>
      <w:pPr>
        <w:spacing w:after="0" w:line="22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20" w:firstLine="233"/>
        <w:spacing w:after="0" w:line="282"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33"/>
        <w:spacing w:after="0" w:line="266"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458"/>
        <w:spacing w:after="0" w:line="266" w:lineRule="auto"/>
        <w:tabs>
          <w:tab w:leader="none" w:pos="6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60" w:firstLine="458"/>
        <w:spacing w:after="0" w:line="282" w:lineRule="auto"/>
        <w:tabs>
          <w:tab w:leader="none" w:pos="6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0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458"/>
        <w:spacing w:after="0" w:line="282" w:lineRule="auto"/>
        <w:tabs>
          <w:tab w:leader="none" w:pos="6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458"/>
        <w:spacing w:after="0" w:line="282" w:lineRule="auto"/>
        <w:tabs>
          <w:tab w:leader="none" w:pos="70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80"/>
        <w:spacing w:after="0"/>
        <w:tabs>
          <w:tab w:leader="none" w:pos="5600" w:val="left"/>
        </w:tabs>
        <w:rPr>
          <w:sz w:val="20"/>
          <w:szCs w:val="20"/>
          <w:color w:val="auto"/>
        </w:rPr>
      </w:pPr>
      <w:r>
        <w:rPr>
          <w:rFonts w:ascii="Times New Roman" w:cs="Times New Roman" w:eastAsia="Times New Roman" w:hAnsi="Times New Roman"/>
          <w:sz w:val="18"/>
          <w:szCs w:val="18"/>
          <w:color w:val="auto"/>
        </w:rPr>
        <w:t>Date:May 6,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 Jeffrey D. Miller, certify that:</w:t>
      </w:r>
    </w:p>
    <w:p>
      <w:pPr>
        <w:spacing w:after="0" w:line="207" w:lineRule="exact"/>
        <w:rPr>
          <w:sz w:val="20"/>
          <w:szCs w:val="20"/>
          <w:color w:val="auto"/>
        </w:rPr>
      </w:pPr>
    </w:p>
    <w:p>
      <w:pPr>
        <w:ind w:left="420" w:hanging="187"/>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2025 of Donegal Group Inc.;</w:t>
      </w:r>
    </w:p>
    <w:p>
      <w:pPr>
        <w:spacing w:after="0" w:line="22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20" w:firstLine="233"/>
        <w:spacing w:after="0" w:line="282"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233"/>
        <w:spacing w:after="0" w:line="266"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320" w:firstLine="458"/>
        <w:spacing w:after="0" w:line="266" w:lineRule="auto"/>
        <w:tabs>
          <w:tab w:leader="none" w:pos="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Times New Roman" w:cs="Times New Roman" w:eastAsia="Times New Roman" w:hAnsi="Times New Roman"/>
          <w:sz w:val="18"/>
          <w:szCs w:val="18"/>
          <w:color w:val="auto"/>
        </w:rPr>
      </w:pPr>
    </w:p>
    <w:p>
      <w:pPr>
        <w:ind w:right="860" w:firstLine="458"/>
        <w:spacing w:after="0" w:line="282" w:lineRule="auto"/>
        <w:tabs>
          <w:tab w:leader="none" w:pos="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60" w:firstLine="233"/>
        <w:spacing w:after="0" w:line="282" w:lineRule="auto"/>
        <w:tabs>
          <w:tab w:leader="none" w:pos="40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40" w:firstLine="458"/>
        <w:spacing w:after="0" w:line="282" w:lineRule="auto"/>
        <w:tabs>
          <w:tab w:leader="none" w:pos="69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458"/>
        <w:spacing w:after="0" w:line="282" w:lineRule="auto"/>
        <w:tabs>
          <w:tab w:leader="none" w:pos="70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80"/>
        <w:spacing w:after="0"/>
        <w:tabs>
          <w:tab w:leader="none" w:pos="5600" w:val="left"/>
        </w:tabs>
        <w:rPr>
          <w:sz w:val="20"/>
          <w:szCs w:val="20"/>
          <w:color w:val="auto"/>
        </w:rPr>
      </w:pPr>
      <w:r>
        <w:rPr>
          <w:rFonts w:ascii="Times New Roman" w:cs="Times New Roman" w:eastAsia="Times New Roman" w:hAnsi="Times New Roman"/>
          <w:sz w:val="18"/>
          <w:szCs w:val="18"/>
          <w:color w:val="auto"/>
        </w:rPr>
        <w:t>Date:May 6, 2025</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March 31, 2025,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420" w:hanging="187"/>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Donegal Group Inc. (the “Company”), on Form 10-Q for the quarter ended March 31, 2025,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6" w:lineRule="exact"/>
        <w:rPr>
          <w:sz w:val="20"/>
          <w:szCs w:val="20"/>
          <w:color w:val="auto"/>
        </w:rPr>
      </w:pPr>
    </w:p>
    <w:p>
      <w:pPr>
        <w:ind w:left="420" w:hanging="187"/>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D. Miller, Executive Vice President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lvl w:ilvl="1">
      <w:lvlJc w:val="left"/>
      <w:lvlText w:val="(%2)"/>
      <w:numFmt w:val="lowerLetter"/>
      <w:start w:val="1"/>
    </w:lvl>
  </w:abstractNum>
  <w:abstractNum w:abstractNumId="7">
    <w:nsid w:val="8EDBDAB"/>
    <w:multiLevelType w:val="hybridMultilevel"/>
    <w:lvl w:ilvl="0">
      <w:lvlJc w:val="left"/>
      <w:lvlText w:val="%1"/>
      <w:numFmt w:val="decimal"/>
      <w:start w:val="1"/>
    </w:lvl>
    <w:lvl w:ilvl="1">
      <w:lvlJc w:val="left"/>
      <w:lvlText w:val="(%2)"/>
      <w:numFmt w:val="lowerLetter"/>
      <w:start w:val="2"/>
    </w:lvl>
  </w:abstractNum>
  <w:abstractNum w:abstractNumId="8">
    <w:nsid w:val="79838CB2"/>
    <w:multiLevelType w:val="hybridMultilevel"/>
    <w:lvl w:ilvl="0">
      <w:lvlJc w:val="left"/>
      <w:lvlText w:val="%1."/>
      <w:numFmt w:val="decimal"/>
      <w:start w:val="3"/>
    </w:lvl>
    <w:lvl w:ilvl="1">
      <w:lvlJc w:val="left"/>
      <w:lvlText w:val="(%2)"/>
      <w:numFmt w:val="lowerLetter"/>
      <w:start w:val="1"/>
    </w:lvl>
  </w:abstractNum>
  <w:abstractNum w:abstractNumId="9">
    <w:nsid w:val="4353D0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
    <w:nsid w:val="B03E0C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
    <w:nsid w:val="189A769B"/>
    <w:multiLevelType w:val="hybridMultilevel"/>
    <w:lvl w:ilvl="0">
      <w:lvlJc w:val="left"/>
      <w:lvlText w:val="(%1)"/>
      <w:numFmt w:val="upperLetter"/>
      <w:start w:val="1"/>
    </w:lvl>
  </w:abstractNum>
  <w:abstractNum w:abstractNumId="12">
    <w:nsid w:val="54E49EB4"/>
    <w:multiLevelType w:val="hybridMultilevel"/>
    <w:lvl w:ilvl="0">
      <w:lvlJc w:val="left"/>
      <w:lvlText w:val="%1"/>
      <w:numFmt w:val="lowerLetter"/>
      <w:start w:val="1"/>
    </w:lvl>
    <w:lvl w:ilvl="1">
      <w:lvlJc w:val="left"/>
      <w:lvlText w:val="(%2)"/>
      <w:numFmt w:val="lowerRoman"/>
      <w:start w:val="3"/>
    </w:lvl>
  </w:abstractNum>
  <w:abstractNum w:abstractNumId="13">
    <w:nsid w:val="71F32454"/>
    <w:multiLevelType w:val="hybridMultilevel"/>
    <w:lvl w:ilvl="0">
      <w:lvlJc w:val="left"/>
      <w:lvlText w:val="(%1)"/>
      <w:numFmt w:val="lowerLetter"/>
      <w:start w:val="3"/>
    </w:lvl>
    <w:lvl w:ilvl="1">
      <w:lvlJc w:val="left"/>
      <w:lvlText w:val="%2"/>
      <w:numFmt w:val="lowerRoman"/>
      <w:start w:val="1"/>
    </w:lvl>
  </w:abstractNum>
  <w:abstractNum w:abstractNumId="14">
    <w:nsid w:val="2CA88611"/>
    <w:multiLevelType w:val="hybridMultilevel"/>
    <w:lvl w:ilvl="0">
      <w:lvlJc w:val="left"/>
      <w:lvlText w:val="%1"/>
      <w:numFmt w:val="lowerLetter"/>
      <w:start w:val="1"/>
    </w:lvl>
    <w:lvl w:ilvl="1">
      <w:lvlJc w:val="left"/>
      <w:lvlText w:val="(%2)"/>
      <w:numFmt w:val="lowerLetter"/>
      <w:start w:val="4"/>
    </w:lvl>
  </w:abstractNum>
  <w:abstractNum w:abstractNumId="15">
    <w:nsid w:val="836C40E"/>
    <w:multiLevelType w:val="hybridMultilevel"/>
    <w:lvl w:ilvl="0">
      <w:lvlJc w:val="left"/>
      <w:lvlText w:val="(%1)"/>
      <w:numFmt w:val="lowerLetter"/>
      <w:start w:val="35"/>
    </w:lvl>
    <w:lvl w:ilvl="1">
      <w:lvlJc w:val="left"/>
      <w:lvlText w:val="(%2)"/>
      <w:numFmt w:val="lowerLetter"/>
      <w:start w:val="7"/>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decimal"/>
      <w:start w:val="1"/>
    </w:lvl>
    <w:lvl w:ilvl="1">
      <w:lvlJc w:val="left"/>
      <w:lvlText w:val="(%2)"/>
      <w:numFmt w:val="lowerLetter"/>
      <w:start w:val="8"/>
    </w:lvl>
  </w:abstractNum>
  <w:abstractNum w:abstractNumId="18">
    <w:nsid w:val="8138641"/>
    <w:multiLevelType w:val="hybridMultilevel"/>
    <w:lvl w:ilvl="0">
      <w:lvlJc w:val="left"/>
      <w:lvlText w:val="%1."/>
      <w:numFmt w:val="decimal"/>
      <w:start w:val="5"/>
    </w:lvl>
    <w:lvl w:ilvl="1">
      <w:lvlJc w:val="left"/>
      <w:lvlText w:val="(%2)"/>
      <w:numFmt w:val="lowerLetter"/>
      <w:start w:val="1"/>
    </w:lvl>
  </w:abstractNum>
  <w:abstractNum w:abstractNumId="19">
    <w:nsid w:val="1E7FF52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Letter"/>
      <w:start w:val="1"/>
    </w:lvl>
  </w:abstractNum>
  <w:abstractNum w:abstractNumId="20">
    <w:nsid w:val="7C3DBD3D"/>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4"/>
    </w:lvl>
    <w:lvl w:ilvl="3">
      <w:lvlJc w:val="left"/>
      <w:lvlText w:val="%4"/>
      <w:numFmt w:val="lowerLetter"/>
      <w:start w:val="1"/>
    </w:lvl>
  </w:abstractNum>
  <w:abstractNum w:abstractNumId="21">
    <w:nsid w:val="737B8DD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22">
    <w:nsid w:val="6CEAF087"/>
    <w:multiLevelType w:val="hybridMultilevel"/>
    <w:lvl w:ilvl="0">
      <w:lvlJc w:val="left"/>
      <w:lvlText w:val="%1"/>
      <w:numFmt w:val="lowerLetter"/>
      <w:start w:val="1"/>
    </w:lvl>
    <w:lvl w:ilvl="1">
      <w:lvlJc w:val="left"/>
      <w:lvlText w:val="(%2)"/>
      <w:numFmt w:val="lowerRoman"/>
      <w:start w:val="2"/>
    </w:lvl>
  </w:abstractNum>
  <w:abstractNum w:abstractNumId="23">
    <w:nsid w:val="22221A70"/>
    <w:multiLevelType w:val="hybridMultilevel"/>
    <w:lvl w:ilvl="0">
      <w:lvlJc w:val="left"/>
      <w:lvlText w:val="(%1)"/>
      <w:numFmt w:val="lowerLetter"/>
      <w:start w:val="2"/>
    </w:lvl>
    <w:lvl w:ilvl="1">
      <w:lvlJc w:val="left"/>
      <w:lvlText w:val="%2"/>
      <w:numFmt w:val="lowerRoman"/>
      <w:start w:val="1"/>
    </w:lvl>
  </w:abstractNum>
  <w:abstractNum w:abstractNumId="24">
    <w:nsid w:val="4516DDE9"/>
    <w:multiLevelType w:val="hybridMultilevel"/>
    <w:lvl w:ilvl="0">
      <w:lvlJc w:val="left"/>
      <w:lvlText w:val="(%1)"/>
      <w:numFmt w:val="lowerLetter"/>
      <w:start w:val="5"/>
    </w:lvl>
  </w:abstractNum>
  <w:abstractNum w:abstractNumId="25">
    <w:nsid w:val="3006C83E"/>
    <w:multiLevelType w:val="hybridMultilevel"/>
    <w:lvl w:ilvl="0">
      <w:lvlJc w:val="left"/>
      <w:lvlText w:val="%1"/>
      <w:numFmt w:val="decimal"/>
      <w:start w:val="1"/>
    </w:lvl>
    <w:lvl w:ilvl="1">
      <w:lvlJc w:val="left"/>
      <w:lvlText w:val="(%2)"/>
      <w:numFmt w:val="lowerLetter"/>
      <w:start w:val="8"/>
    </w:lvl>
  </w:abstractNum>
  <w:abstractNum w:abstractNumId="26">
    <w:nsid w:val="614FD4A1"/>
    <w:multiLevelType w:val="hybridMultilevel"/>
    <w:lvl w:ilvl="0">
      <w:lvlJc w:val="left"/>
      <w:lvlText w:val="%1."/>
      <w:numFmt w:val="decimal"/>
      <w:start w:val="7"/>
    </w:lvl>
    <w:lvl w:ilvl="1">
      <w:lvlJc w:val="left"/>
      <w:lvlText w:val="(%2)"/>
      <w:numFmt w:val="lowerLetter"/>
      <w:start w:val="1"/>
    </w:lvl>
  </w:abstractNum>
  <w:abstractNum w:abstractNumId="27">
    <w:nsid w:val="419AC241"/>
    <w:multiLevelType w:val="hybridMultilevel"/>
    <w:lvl w:ilvl="0">
      <w:lvlJc w:val="left"/>
      <w:lvlText w:val="%1"/>
      <w:numFmt w:val="decimal"/>
      <w:start w:val="1"/>
    </w:lvl>
    <w:lvl w:ilvl="1">
      <w:lvlJc w:val="left"/>
      <w:lvlText w:val="(%2)"/>
      <w:numFmt w:val="lowerLetter"/>
      <w:start w:val="5"/>
    </w:lvl>
  </w:abstractNum>
  <w:abstractNum w:abstractNumId="28">
    <w:nsid w:val="5577F8E1"/>
    <w:multiLevelType w:val="hybridMultilevel"/>
    <w:lvl w:ilvl="0">
      <w:lvlJc w:val="left"/>
      <w:lvlText w:val="%1."/>
      <w:numFmt w:val="decimal"/>
      <w:start w:val="8"/>
    </w:lvl>
    <w:lvl w:ilvl="1">
      <w:lvlJc w:val="left"/>
      <w:lvlText w:val="%2"/>
      <w:numFmt w:val="lowerLetter"/>
      <w:start w:val="1"/>
    </w:lvl>
  </w:abstractNum>
  <w:abstractNum w:abstractNumId="29">
    <w:nsid w:val="440BADFC"/>
    <w:multiLevelType w:val="hybridMultilevel"/>
    <w:lvl w:ilvl="0">
      <w:lvlJc w:val="left"/>
      <w:lvlText w:val="%1."/>
      <w:numFmt w:val="decimal"/>
      <w:start w:val="9"/>
    </w:lvl>
  </w:abstractNum>
  <w:abstractNum w:abstractNumId="30">
    <w:nsid w:val="5072367"/>
    <w:multiLevelType w:val="hybridMultilevel"/>
    <w:lvl w:ilvl="0">
      <w:lvlJc w:val="left"/>
      <w:lvlText w:val="%1."/>
      <w:numFmt w:val="decimal"/>
      <w:start w:val="11"/>
    </w:lvl>
  </w:abstractNum>
  <w:abstractNum w:abstractNumId="31">
    <w:nsid w:val="3804823E"/>
    <w:multiLevelType w:val="hybridMultilevel"/>
    <w:lvl w:ilvl="0">
      <w:lvlJc w:val="left"/>
      <w:lvlText w:val="%1."/>
      <w:numFmt w:val="decimal"/>
      <w:start w:val="15"/>
    </w:lvl>
  </w:abstractNum>
  <w:abstractNum w:abstractNumId="32">
    <w:nsid w:val="77465F01"/>
    <w:multiLevelType w:val="hybridMultilevel"/>
    <w:lvl w:ilvl="0">
      <w:lvlJc w:val="left"/>
      <w:lvlText w:val="%1."/>
      <w:numFmt w:val="decimal"/>
      <w:start w:val="20"/>
    </w:lvl>
    <w:lvl w:ilvl="1">
      <w:lvlJc w:val="left"/>
      <w:lvlText w:val="(%2)"/>
      <w:numFmt w:val="lowerLetter"/>
      <w:start w:val="9"/>
    </w:lvl>
  </w:abstractNum>
  <w:abstractNum w:abstractNumId="33">
    <w:nsid w:val="7724C67E"/>
    <w:multiLevelType w:val="hybridMultilevel"/>
    <w:lvl w:ilvl="0">
      <w:lvlJc w:val="left"/>
      <w:lvlText w:val="%1"/>
      <w:numFmt w:val="lowerLetter"/>
      <w:start w:val="1"/>
    </w:lvl>
    <w:lvl w:ilvl="1">
      <w:lvlJc w:val="left"/>
      <w:lvlText w:val="(%2)"/>
      <w:numFmt w:val="lowerRoman"/>
      <w:start w:val="1"/>
    </w:lvl>
  </w:abstractNum>
  <w:abstractNum w:abstractNumId="34">
    <w:nsid w:val="5C482A97"/>
    <w:multiLevelType w:val="hybridMultilevel"/>
    <w:lvl w:ilvl="0">
      <w:lvlJc w:val="left"/>
      <w:lvlText w:val="(%1)"/>
      <w:numFmt w:val="lowerLetter"/>
      <w:start w:val="11"/>
    </w:lvl>
    <w:lvl w:ilvl="1">
      <w:lvlJc w:val="left"/>
      <w:lvlText w:val="%2"/>
      <w:numFmt w:val="lowerRoman"/>
      <w:start w:val="1"/>
    </w:lvl>
  </w:abstractNum>
  <w:abstractNum w:abstractNumId="35">
    <w:nsid w:val="2463B9EA"/>
    <w:multiLevelType w:val="hybridMultilevel"/>
    <w:lvl w:ilvl="0">
      <w:lvlJc w:val="left"/>
      <w:lvlText w:val="(%1)"/>
      <w:numFmt w:val="lowerLetter"/>
      <w:start w:val="14"/>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2025-05-06T13:31:54Z</dcterms:created>
  <dcterms:modified xsi:type="dcterms:W3CDTF">2025-05-06T13:31:54Z</dcterms:modified>
</cp:coreProperties>
</file>