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224790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40" w:right="1600" w:hanging="3832"/>
        <w:spacing w:after="0" w:line="2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217170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208280</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ectPr>
          <w:pgSz w:w="11900" w:h="16927" w:orient="portrait"/>
          <w:cols w:equalWidth="0" w:num="1">
            <w:col w:w="11240"/>
          </w:cols>
          <w:pgMar w:left="320" w:top="516"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23-2424711</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927" w:orient="portrait"/>
          <w:cols w:equalWidth="0" w:num="2">
            <w:col w:w="6400" w:space="720"/>
            <w:col w:w="4120"/>
          </w:cols>
          <w:pgMar w:left="320" w:top="516" w:right="339" w:bottom="0" w:gutter="0" w:footer="0" w:header="0"/>
          <w:type w:val="continuous"/>
        </w:sectPr>
      </w:pPr>
    </w:p>
    <w:p>
      <w:pPr>
        <w:spacing w:after="0" w:line="1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1195 River Road, P.O. Box 302, Marietta, PA 17547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(717) 426-1931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both"/>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927" w:orient="portrait"/>
          <w:cols w:equalWidth="0" w:num="1">
            <w:col w:w="11240"/>
          </w:cols>
          <w:pgMar w:left="320" w:top="516" w:right="339" w:bottom="0" w:gutter="0" w:footer="0" w:header="0"/>
          <w:type w:val="continuous"/>
        </w:sectPr>
      </w:pPr>
    </w:p>
    <w:p>
      <w:pPr>
        <w:spacing w:after="0" w:line="135"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5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927" w:orient="portrait"/>
          <w:cols w:equalWidth="0" w:num="4">
            <w:col w:w="2800" w:space="720"/>
            <w:col w:w="1920" w:space="720"/>
            <w:col w:w="2180" w:space="720"/>
            <w:col w:w="2180"/>
          </w:cols>
          <w:pgMar w:left="320" w:top="516" w:right="339" w:bottom="0" w:gutter="0" w:footer="0" w:header="0"/>
          <w:type w:val="continuous"/>
        </w:sect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927" w:orient="portrait"/>
          <w:cols w:equalWidth="0" w:num="1">
            <w:col w:w="11240"/>
          </w:cols>
          <w:pgMar w:left="320" w:top="516" w:right="339" w:bottom="0" w:gutter="0" w:footer="0" w:header="0"/>
          <w:type w:val="continuous"/>
        </w:sectPr>
      </w:pPr>
    </w:p>
    <w:p>
      <w:pPr>
        <w:spacing w:after="0" w:line="190" w:lineRule="exact"/>
        <w:rPr>
          <w:sz w:val="24"/>
          <w:szCs w:val="24"/>
          <w:color w:val="auto"/>
        </w:rPr>
      </w:pPr>
    </w:p>
    <w:p>
      <w:pPr>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6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Title of Each Class</w:t>
            </w:r>
          </w:p>
        </w:tc>
        <w:tc>
          <w:tcPr>
            <w:tcW w:w="26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2"/>
        </w:trPr>
        <w:tc>
          <w:tcPr>
            <w:tcW w:w="36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w:t>
            </w:r>
          </w:p>
        </w:tc>
        <w:tc>
          <w:tcPr>
            <w:tcW w:w="2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432"/>
        </w:trPr>
        <w:tc>
          <w:tcPr>
            <w:tcW w:w="36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DGICB</w:t>
            </w:r>
          </w:p>
        </w:tc>
        <w:tc>
          <w:tcPr>
            <w:tcW w:w="4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98" w:lineRule="exact"/>
        <w:rPr>
          <w:sz w:val="24"/>
          <w:szCs w:val="24"/>
          <w:color w:val="auto"/>
        </w:rPr>
      </w:pPr>
    </w:p>
    <w:p>
      <w:pPr>
        <w:jc w:val="both"/>
        <w:ind w:right="400" w:firstLine="445"/>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31,472,828 shares of Class A Common Stock, par value $0.01 per share, and 5,576,775 shares of Class B Common Stock, par value $0.01 per share, outstanding on May 1,</w:t>
      </w:r>
    </w:p>
    <w:p>
      <w:pPr>
        <w:sectPr>
          <w:pgSz w:w="11900" w:h="16927" w:orient="portrait"/>
          <w:cols w:equalWidth="0" w:num="1">
            <w:col w:w="11240"/>
          </w:cols>
          <w:pgMar w:left="320" w:top="516"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962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840" w:type="dxa"/>
            <w:vAlign w:val="bottom"/>
            <w:gridSpan w:val="2"/>
            <w:vMerge w:val="continue"/>
          </w:tcPr>
          <w:p>
            <w:pPr>
              <w:spacing w:after="0"/>
              <w:rPr>
                <w:sz w:val="18"/>
                <w:szCs w:val="18"/>
                <w:color w:val="auto"/>
              </w:rPr>
            </w:pPr>
          </w:p>
        </w:tc>
        <w:tc>
          <w:tcPr>
            <w:tcW w:w="9620" w:type="dxa"/>
            <w:vAlign w:val="bottom"/>
            <w:gridSpan w:val="12"/>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2"/>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0000EE"/>
              </w:rPr>
              <w:t>Financial Statements</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96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6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31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41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00" w:type="dxa"/>
            <w:vAlign w:val="bottom"/>
            <w:gridSpan w:val="2"/>
            <w:vMerge w:val="continue"/>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at amortized cost (net of allowance for expected credit losses of $1,274,490 and $1,312,903)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783,951,953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776,447,347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649,110,503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640,722,775</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45,105,813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44,370,358</w:t>
            </w:r>
          </w:p>
        </w:tc>
        <w:tc>
          <w:tcPr>
            <w:tcW w:w="0" w:type="dxa"/>
            <w:vAlign w:val="bottom"/>
          </w:tcPr>
          <w:p>
            <w:pPr>
              <w:spacing w:after="0"/>
              <w:rPr>
                <w:sz w:val="1"/>
                <w:szCs w:val="1"/>
                <w:color w:val="auto"/>
              </w:rPr>
            </w:pP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26,016,894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38,712,341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1,504,185,163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1,500,252,821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35,501,229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26,785,845</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11,978,051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10,914,235</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197,327,411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180,803,918</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$401,773 and $374,883)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418,091,102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398,582,136</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71,995,952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68,669,982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14,843,359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13,287,301</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179,320,225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171,083,219</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2,292,226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2,329,491</w:t>
            </w: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4,028,034</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5,712,446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3,299,188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5,625,354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3"/>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9,918</w:t>
            </w:r>
          </w:p>
        </w:tc>
        <w:tc>
          <w:tcPr>
            <w:tcW w:w="0" w:type="dxa"/>
            <w:vAlign w:val="bottom"/>
          </w:tcPr>
          <w:p>
            <w:pPr>
              <w:spacing w:after="0"/>
              <w:rPr>
                <w:sz w:val="1"/>
                <w:szCs w:val="1"/>
                <w:color w:val="auto"/>
              </w:rPr>
            </w:pPr>
          </w:p>
        </w:tc>
      </w:tr>
      <w:tr>
        <w:trPr>
          <w:trHeight w:val="256"/>
        </w:trPr>
        <w:tc>
          <w:tcPr>
            <w:tcW w:w="320" w:type="dxa"/>
            <w:vAlign w:val="bottom"/>
            <w:shd w:val="clear" w:color="auto" w:fill="CCEEFF"/>
          </w:tcPr>
          <w:p>
            <w:pPr>
              <w:spacing w:after="0"/>
              <w:rPr>
                <w:sz w:val="22"/>
                <w:szCs w:val="22"/>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2,448,780,536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2,386,629,452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1,129,814,963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1,100,049,937</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617,210,414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591,040,451</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2,311,032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2,220,800</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3,141,996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3,484,130</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6,647,482</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 - securities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4,350,228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7,859,267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7,768,573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1,799,687,900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1,746,211,373</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authorized 2,000,000 shares; none issued</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2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$.01 par value, authorized 50,000,000 shares, issued 34,440,977 and 34,385,129 shares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31,438,389 and 31,382,541 shares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344,410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343,852</w:t>
            </w:r>
          </w:p>
        </w:tc>
        <w:tc>
          <w:tcPr>
            <w:tcW w:w="0" w:type="dxa"/>
            <w:vAlign w:val="bottom"/>
          </w:tcPr>
          <w:p>
            <w:pPr>
              <w:spacing w:after="0"/>
              <w:rPr>
                <w:sz w:val="1"/>
                <w:szCs w:val="1"/>
                <w:color w:val="auto"/>
              </w:rPr>
            </w:pPr>
          </w:p>
        </w:tc>
      </w:tr>
      <w:tr>
        <w:trPr>
          <w:trHeight w:val="198"/>
        </w:trPr>
        <w:tc>
          <w:tcPr>
            <w:tcW w:w="862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$.01 par value, authorized 10,000,000 shares, issued 5,649,240 shares and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393,244,272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391,811,397</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(12,407,401)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(8,295,743)</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309,081,220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297,728,438</w:t>
            </w:r>
          </w:p>
        </w:tc>
        <w:tc>
          <w:tcPr>
            <w:tcW w:w="0" w:type="dxa"/>
            <w:vAlign w:val="bottom"/>
          </w:tcPr>
          <w:p>
            <w:pPr>
              <w:spacing w:after="0"/>
              <w:rPr>
                <w:sz w:val="1"/>
                <w:szCs w:val="1"/>
                <w:color w:val="auto"/>
              </w:rPr>
            </w:pP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(41,226,357)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649,092,636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640,418,079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2,448,780,536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2,386,629,452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221,357,442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232,701,889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14,287,065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11,983,574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losses (includes $70,854 and $57,103 accumulated other comprehensive income reclassifications)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(479,224)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(470,861)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76,827</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756,733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235,996,234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245,173,624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141,999,594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132,033,147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39,231,000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42,014,492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41,194,994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759,389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333,045</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577,453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221,873,271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214,012,675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14,122,963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31,160,949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$14,879 and $11,992 income tax expense from reclassification items)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2,612,359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5,955,775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11,510,604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25,205,174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3"/>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25,205,174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income on securities: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holding (loss) income during the period, net of income tax (benefit) expense of ($1,078,094) and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$1,800,510</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(4,055,683)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6,773,356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gains included in net income, net of income tax expense of $14,879 and $11,992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(45,111)</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(4,111,658)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6,728,245</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7,398,946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31,933,419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gridSpan w:val="11"/>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00" w:type="dxa"/>
            <w:vAlign w:val="bottom"/>
            <w:gridSpan w:val="1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60" w:type="dxa"/>
            <w:vAlign w:val="bottom"/>
            <w:gridSpan w:val="11"/>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Comprehensive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Amount</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Loss</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34,385,129</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391,811,397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(8,295,743)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$ 297,728,438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$ 640,418,079</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723,690</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724,085</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559,026</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559,189</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11,510,604</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11,510,604</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(7,663)</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150,159</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(150,159)</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(4,111,658)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(4,111,658)</w:t>
            </w:r>
          </w:p>
        </w:tc>
      </w:tr>
      <w:tr>
        <w:trPr>
          <w:trHeight w:val="198"/>
        </w:trPr>
        <w:tc>
          <w:tcPr>
            <w:tcW w:w="13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34,440,977</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344,410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393,244,272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(12,407,401)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309,081,220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(41,226,357)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$ 649,092,636</w:t>
            </w:r>
          </w:p>
        </w:tc>
      </w:tr>
      <w:tr>
        <w:trPr>
          <w:trHeight w:val="27"/>
        </w:trPr>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1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Class A</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Class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Class 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Treasury</w:t>
            </w:r>
          </w:p>
        </w:tc>
        <w:tc>
          <w:tcPr>
            <w:tcW w:w="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13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Amount</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Loss</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Earnings</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Pr>
          <w:p>
            <w:pPr>
              <w:spacing w:after="0"/>
              <w:rPr>
                <w:sz w:val="20"/>
                <w:szCs w:val="20"/>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198"/>
        </w:trPr>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32,954,347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5,649,240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329,544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369,679,946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(28,200,481)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$ 245,136,987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(41,226,357)</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$ 545,776,131</w:t>
            </w: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444,142</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444,507</w:t>
            </w:r>
          </w:p>
        </w:tc>
      </w:tr>
      <w:tr>
        <w:trPr>
          <w:trHeight w:val="198"/>
        </w:trPr>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6,571,130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6,575,514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25,205,174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25,205,174</w:t>
            </w:r>
          </w:p>
        </w:tc>
      </w:tr>
      <w:tr>
        <w:trPr>
          <w:trHeight w:val="198"/>
        </w:trPr>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(6,556)</w:t>
            </w: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168,699</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(168,699)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6,728,245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6,728,245</w:t>
            </w:r>
          </w:p>
        </w:tc>
      </w:tr>
      <w:tr>
        <w:trPr>
          <w:trHeight w:val="198"/>
        </w:trPr>
        <w:tc>
          <w:tcPr>
            <w:tcW w:w="13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33,429,227</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5,649,240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334,293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376,863,917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(21,472,236)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270,166,906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(41,226,357)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$ 584,723,015</w:t>
            </w:r>
          </w:p>
        </w:tc>
      </w:tr>
      <w:tr>
        <w:trPr>
          <w:trHeight w:val="27"/>
        </w:trPr>
        <w:tc>
          <w:tcPr>
            <w:tcW w:w="1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11,510,604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25,205,174</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1,020,039</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470,861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29,765,026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(28,361,486)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21,088,303</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(16,523,493)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(12,868,607)</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(3,325,970)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(2,847,365)</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(463,085)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(88,129)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(19,508,966)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17,360,240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(8,237,006)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(6,697,810)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(1,063,816)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(746,169)</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(2,413,258)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5,511,873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(342,134)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(515,651)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3,087,944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6,108,965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61,685</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1,047,840</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8,662,711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20,173,315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25,749,763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(12,142,867)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(8,795,740)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(43,893,780)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(37,872,046)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 available for sale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(1,322,139)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(2,502,170)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9,050,096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7,057,175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30,199,197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23,253,617</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(purchases) of property and equipment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of 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12,695,447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3,936,913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(5,413,721)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(14,922,351)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(6,655,145)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(6,037,634)</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610,935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6,599,404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(6,044,210)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561,770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8,715,384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11,389,182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26,785,845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52,925,931</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35,501,229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64,315,113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333,025</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(received) during period -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(56,261)</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property and casualty insurance exclusively through a network of independent insurance agents in certain Mid-Atlantic, Midwestern, Southern and Southwestern states.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March 31, 2026,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March 31, 2026, Donegal Mutual held approximately 44% of our outstanding Class A common stock and approximately 85% of our outstanding Class B common stock. This ownership provides Donegal Mutual with approximately 70%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Index</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2025, Donegal Mutual and Southern entered into a renewal rights agreement with an affiliate of a farm-focused Pennsylvania-based mutual insurance group to provide a continuation option for their farm policyholders when they begin to non-renew all farm policies as they expire beginning in the second quarter of 2026. Donegal Mutual and Southern determined that the costs required to modernize their legacy farm product and systems were higher than the projected return on investment for this non-core line of business that represents approximately $6 million in premiums. None of our other insurance subsidiaries offered farm policies. We currently include farm policies within other commercial lines in our line of business reporting.</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three months ended March 31, 2026 are not necessarily indicative of the results of operations we expect for the year ending December 31, 2026.</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2025 that we filed with the Securities and Exchange Commission (“SEC”) on March 6, 2026.</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3 -</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0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0" w:type="dxa"/>
            <w:vAlign w:val="bottom"/>
            <w:shd w:val="clear" w:color="auto" w:fill="CCEEFF"/>
          </w:tcPr>
          <w:p>
            <w:pPr>
              <w:spacing w:after="0"/>
              <w:rPr>
                <w:sz w:val="22"/>
                <w:szCs w:val="22"/>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4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shd w:val="clear" w:color="auto" w:fill="CCEEFF"/>
          </w:tcPr>
          <w:p>
            <w:pPr>
              <w:spacing w:after="0"/>
              <w:rPr>
                <w:sz w:val="20"/>
                <w:szCs w:val="20"/>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30,121</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4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30,430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We did not exclude any outstanding options to purchase shares of Class A common stock in our computation of diluted net income per share because the exercise price of the options did not exceed the average market price of our Class A common stock during the applicable periods.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4 -</w:t>
        <w:tab/>
        <w:t>Reinsurance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all of which have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2026:</w:t>
      </w:r>
    </w:p>
    <w:p>
      <w:pPr>
        <w:spacing w:after="0" w:line="183" w:lineRule="exact"/>
        <w:rPr>
          <w:sz w:val="20"/>
          <w:szCs w:val="20"/>
          <w:color w:val="auto"/>
        </w:rPr>
      </w:pPr>
    </w:p>
    <w:p>
      <w:pPr>
        <w:jc w:val="both"/>
        <w:ind w:left="740" w:hanging="327"/>
        <w:spacing w:after="0" w:line="266"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insurance, excess of loss reinsurance that provides for coverage of $36.0 million per loss over a set retention of $4.0 million and catastrophe reinsurance, under which they recover 100% of an accumulation of many losses resulting from a single event, including natural disasters, over a set retention of $25.0 million up to aggregate losses of $200.0 million per occurrence;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740" w:right="160" w:hanging="327"/>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liability insurance, excess of loss reinsurance that provides for coverage of $69.0 million per occurrence over a set retention of $6.0 million;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workers’ compensation insurance, excess of loss reinsurance that provides for coverage of $17.0 million on any one life over a set retention of $3.0 million.</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Southern, MICO and The Peninsula Insurance Company also have a liability reinsurance agreement with Donegal Mutual, under which each insurance subsidiary recovers up to $3.0 million per occurrence over a set retention of $3.0 million.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The Peninsula Insurance Company are required to be members of the Michigan Catastrophic Claims Association (“MCCA”). The MCCA provides reinsurance to Atlantic States, MICO and The Peninsula Insurance Company for personal automobile and commercial automobile personal injury claims in the state of Michigan over a set retention.</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5 -</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March 31, 2026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4"/>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w:t>
            </w:r>
          </w:p>
        </w:tc>
        <w:tc>
          <w:tcPr>
            <w:tcW w:w="6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68,757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447,460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447,819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405,797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255,159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247,761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7,455</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783,952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24,355</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23,495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139,031</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436,116</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664,008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March 31, 2026, our holdings of obligations of states and political subdivisions included general obligation bonds with an aggregate fair value of $294.5 million and an amortized cost of $325.0 million. Our holdings at March 31, 2026 also included special revenue bonds with an aggregate fair value of $161.8 million and an amortized cost of $175.5 million. With respect to both categories of those bonds, we held no securities of any issuer that comprised more than 10% of our holdings of either bond category at March 31, 2026. Education bonds and water and sewer utility bonds represented 41% and 35%, respectively, of our total investments in special revenue bonds based on the carrying values of these investments at March 31, 2026. Many of the issuers of the special revenue bonds we held at March 31, 2026 have the authority to impose ad valorem taxes. In that respect, many of the special revenue bonds we held are similar to general obligation bonds.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4"/>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79,243</w:t>
            </w:r>
          </w:p>
        </w:tc>
        <w:tc>
          <w:tcPr>
            <w:tcW w:w="6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74,510</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436,802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437,159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401,132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247,790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8,227</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130,925</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436,918</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2025, our holdings of obligations of states and political subdivisions included general obligation bonds with an aggregate fair value of $291.7 million and an amortized cost of $317.5 million. Our holdings also included special revenue bonds with an aggregate fair value of $158.0 million and an amortized cost of $169.6 million. With respect to both categories of bonds, we held no securities of any issuer that comprised more than 10% of that category at December 31, 2025. Education bonds and water and sewer utility bonds represented 42% and 32%, respectively, of our total investments in special revenue bonds based on their carrying values at December 31, 2025. Many of the issuers of the special revenue bonds we held at December 31, 2025 have the authority to impose ad valorem taxes. In that respect, many of the special revenue bonds we held are similar to general obligation bonds.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$44,511 and $45,199 in other comprehensive (loss) income during the three months ended March 31, 2026 and 2025, respectively. At March 31, 2026 and December 31, 2025, net unrealized losses of $809,195 and $853,706, respectively, remained within accumulated other comprehensive loss.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March 31, 2026 by contractual maturity. Expected maturities may differ from contractual maturities because issuers of the securities may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223,356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212,535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224,875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212,680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322,370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290,053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7,455</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785,226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729,770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13,280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71,676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69,981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80,378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78,148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436,116</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664,008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649,111</w:t>
            </w:r>
          </w:p>
        </w:tc>
        <w:tc>
          <w:tcPr>
            <w:tcW w:w="0" w:type="dxa"/>
            <w:vAlign w:val="bottom"/>
          </w:tcPr>
          <w:p>
            <w:pPr>
              <w:spacing w:after="0"/>
              <w:rPr>
                <w:sz w:val="1"/>
                <w:szCs w:val="1"/>
                <w:color w:val="auto"/>
              </w:rPr>
            </w:pPr>
          </w:p>
        </w:tc>
      </w:tr>
      <w:tr>
        <w:trPr>
          <w:trHeight w:val="21"/>
        </w:trPr>
        <w:tc>
          <w:tcPr>
            <w:tcW w:w="72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March 31, 2026 were as follows:</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28,560</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45,106</w:t>
            </w:r>
          </w:p>
        </w:tc>
        <w:tc>
          <w:tcPr>
            <w:tcW w:w="0" w:type="dxa"/>
            <w:vAlign w:val="bottom"/>
          </w:tcPr>
          <w:p>
            <w:pPr>
              <w:spacing w:after="0"/>
              <w:rPr>
                <w:sz w:val="1"/>
                <w:szCs w:val="1"/>
                <w:color w:val="auto"/>
              </w:rPr>
            </w:pPr>
          </w:p>
        </w:tc>
      </w:tr>
      <w:tr>
        <w:trPr>
          <w:trHeight w:val="432"/>
        </w:trPr>
        <w:tc>
          <w:tcPr>
            <w:tcW w:w="7680" w:type="dxa"/>
            <w:vAlign w:val="bottom"/>
            <w:gridSpan w:val="7"/>
          </w:tcPr>
          <w:p>
            <w:pPr>
              <w:jc w:val="right"/>
              <w:ind w:right="17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2025 were as follows: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27,238</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44,370</w:t>
            </w:r>
          </w:p>
        </w:tc>
        <w:tc>
          <w:tcPr>
            <w:tcW w:w="0" w:type="dxa"/>
            <w:vAlign w:val="bottom"/>
          </w:tcPr>
          <w:p>
            <w:pPr>
              <w:spacing w:after="0"/>
              <w:rPr>
                <w:sz w:val="1"/>
                <w:szCs w:val="1"/>
                <w:color w:val="auto"/>
              </w:rPr>
            </w:pPr>
          </w:p>
        </w:tc>
      </w:tr>
      <w:tr>
        <w:trPr>
          <w:trHeight w:val="570"/>
        </w:trPr>
        <w:tc>
          <w:tcPr>
            <w:tcW w:w="414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losses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March 31, 2026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70,266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281,046</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45,021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175,475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177,508</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87,097</w:t>
            </w: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9,232</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374,612</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6,131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613,884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2025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5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76,506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287,717</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183,026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8,995</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88,887</w:t>
            </w: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193,524</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1,689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636,136</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715 debt securities that were in an unrealized loss position at March 31, 2026. Based upon our analysis of general market conditions and underlying factors impacting these debt securities, we considered these declines in value to be temporary.</w:t>
      </w:r>
    </w:p>
    <w:p>
      <w:pPr>
        <w:spacing w:after="0" w:line="18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6 -</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who is our Chief Executive Officer, evaluates the performance of the commercial lines and personal lines primarily based upon our insurance subsidiaries’ underwriting results as determined under statutory accounting principles (“SAP”). This segmentation is consistent with the segmentation we utilize to manage our business. We make resource allocation decisions based upon historical underwriting results as well as perceived opportunities for future profitable growth within each segment.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only in the United States, and no single customer or agent provides 10 percent or more of our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data by segment is as follows: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221,357</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14,287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segment revenues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13,808</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235,165</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235,996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46,109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141,467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81,375</w:t>
            </w:r>
          </w:p>
        </w:tc>
        <w:tc>
          <w:tcPr>
            <w:tcW w:w="0" w:type="dxa"/>
            <w:vAlign w:val="bottom"/>
          </w:tcPr>
          <w:p>
            <w:pPr>
              <w:spacing w:after="0"/>
              <w:rPr>
                <w:sz w:val="1"/>
                <w:szCs w:val="1"/>
                <w:color w:val="auto"/>
              </w:rPr>
            </w:pP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SAP underwriting (loss)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13,388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adjustments</w:t>
            </w: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14,287</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3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revenues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81,321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50,708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0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SAP underwriting (loss) income</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losses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7 -</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agreement with Manufacturers and Traders Trust Company (“M&amp;T”) that related to a $20.0 million unsecured demand line of credit. The line of credit has no expiration date, no annual fees and no covenants. At March 31, 2026, we had no outstanding borrowings from M&amp;T and had the ability to borrow up to $20.0 million at an interest rate equal to the then-current Term SOFR rate plus 2.11%.</w:t>
      </w:r>
    </w:p>
    <w:p>
      <w:pPr>
        <w:spacing w:after="0" w:line="176"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March 31, 2026. The cash advance carries a fixed interest rate of 3.806% and is due in September 2026. The table below presents the amount of FHLB of Pittsburgh stock Atlantic States purchased, collateral pledged and assets related to Atlantic States’ membership in the FHLB of Pittsburgh at March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5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1,615,400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$41,276,943)</w:t>
            </w:r>
          </w:p>
        </w:tc>
        <w:tc>
          <w:tcPr>
            <w:tcW w:w="5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43,069,261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5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4,005,219</w:t>
            </w:r>
          </w:p>
        </w:tc>
      </w:tr>
      <w:tr>
        <w:trPr>
          <w:trHeight w:val="570"/>
        </w:trPr>
        <w:tc>
          <w:tcPr>
            <w:tcW w:w="4760" w:type="dxa"/>
            <w:vAlign w:val="bottom"/>
          </w:tcPr>
          <w:p>
            <w:pPr>
              <w:spacing w:after="0"/>
              <w:rPr>
                <w:sz w:val="24"/>
                <w:szCs w:val="24"/>
                <w:color w:val="auto"/>
              </w:rPr>
            </w:pPr>
          </w:p>
        </w:tc>
        <w:tc>
          <w:tcPr>
            <w:tcW w:w="5460" w:type="dxa"/>
            <w:vAlign w:val="bottom"/>
          </w:tcPr>
          <w:p>
            <w:pPr>
              <w:jc w:val="right"/>
              <w:ind w:right="4439"/>
              <w:spacing w:after="0"/>
              <w:rPr>
                <w:sz w:val="20"/>
                <w:szCs w:val="20"/>
                <w:color w:val="auto"/>
              </w:rPr>
            </w:pPr>
            <w:r>
              <w:rPr>
                <w:rFonts w:ascii="Times New Roman" w:cs="Times New Roman" w:eastAsia="Times New Roman" w:hAnsi="Times New Roman"/>
                <w:sz w:val="14"/>
                <w:szCs w:val="14"/>
                <w:color w:val="auto"/>
              </w:rPr>
              <w:t>14</w:t>
            </w:r>
          </w:p>
        </w:tc>
        <w:tc>
          <w:tcPr>
            <w:tcW w:w="102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8 -</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historically granted stock options on an annual basis at our December board meeting, which occurs in the middle of December. At its December 18, 2025 board meeting, our board of directors approved the recommendation of the compensation committee to change the form of equity awards we issue on an annual basis from stock options to restricted stock units and to delay issuance until the first day of the next calendar year. Accordingly, on January 1, 2026, we granted 115,500 restricted stock units to our officers and the officers of Donegal Mutual that will vest in three equal annual installments. We plan to grant restricted stock units on January 1 of each year. This practice will allow vesting under each grant to occur on the same date and for the value of the shares our officers and the officers of Donegal Mutual receive upon vesting of multiple grants to be calculated consistently using the closing price of Class A common stock on the last trading day of the preceding year.</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$326,859 and $296,936 for the three months ended March 31, 2026 and 2025, respectively, with a corresponding income tax benefit of $68,640 and $62,357, respectively. At March 31, 2026, we had $2.1 million of unrecognized compensation expense related to nonvested share-based compensation granted under our stock compensation plans that we expect to recognize over a weighted average period of approximately 2.3 years.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received cash from option exercises under our stock compensation plans during the three months ended March 31, 2026 and 2025 of $232,330 and $6.3 million, respectively. We realized actual tax benefits for the tax deductions related to those option exercises of $13,100 and $300,981 for the three months ended March 31, 2026 and 2025, respectively.</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firstLine="452"/>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March 31, 2026, we received two estimates per security from the pricing services, and we priced substantially all of our Level 1 and Level 2 investments using those prices. In our review of the estimates the pricing services provided at March 31, 2026, we did not identify any material discrepancies, and we did not make any adjustments to the estimates the pricing services provided.</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our assets and liabilities to determine the appropriate level at which to classify them for each reporting period. Based on our review of the methodology and summary of inputs the pricing services use, we have concluded that our Level 1 and Level 2 investments were classified properly at March 31, 2026 and December 31, 2025.</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1"/>
                <w:szCs w:val="21"/>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100" w:type="dxa"/>
            <w:vAlign w:val="bottom"/>
          </w:tcPr>
          <w:p>
            <w:pPr>
              <w:spacing w:after="0"/>
              <w:rPr>
                <w:sz w:val="21"/>
                <w:szCs w:val="21"/>
                <w:color w:val="auto"/>
              </w:rPr>
            </w:pP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w:t>
            </w:r>
          </w:p>
        </w:tc>
        <w:tc>
          <w:tcPr>
            <w:tcW w:w="15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w w:val="79"/>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3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50,469</w:t>
            </w: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50,469</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139,031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436,116</w:t>
            </w: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436,116</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42,969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42,969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651,248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420" w:type="dxa"/>
            <w:vAlign w:val="bottom"/>
          </w:tcPr>
          <w:p>
            <w:pPr>
              <w:spacing w:after="0"/>
              <w:rPr>
                <w:sz w:val="24"/>
                <w:szCs w:val="24"/>
                <w:color w:val="auto"/>
              </w:rPr>
            </w:pPr>
          </w:p>
        </w:tc>
        <w:tc>
          <w:tcPr>
            <w:tcW w:w="30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color w:val="auto"/>
                <w:w w:val="99"/>
              </w:rPr>
              <w:t>16</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1"/>
                <w:szCs w:val="21"/>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100" w:type="dxa"/>
            <w:vAlign w:val="bottom"/>
          </w:tcPr>
          <w:p>
            <w:pPr>
              <w:spacing w:after="0"/>
              <w:rPr>
                <w:sz w:val="21"/>
                <w:szCs w:val="21"/>
                <w:color w:val="auto"/>
              </w:rPr>
            </w:pPr>
          </w:p>
        </w:tc>
      </w:tr>
      <w:tr>
        <w:trPr>
          <w:trHeight w:val="250"/>
        </w:trPr>
        <w:tc>
          <w:tcPr>
            <w:tcW w:w="5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1"/>
        </w:trPr>
        <w:tc>
          <w:tcPr>
            <w:tcW w:w="558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48,551</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436,918</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642,860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Income Taxes</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At March 31, 2026 and December 31, 2025,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$7.5 million for our net state operating loss carryforward at March 31, 2026 and December 31, 2025, which will expire between 2026 and 2045. We have determined that we are not required to establish a valuation allowance for our other deferred tax assets of $33.8 million and $31.8 million at March 31, 2026 and December 31, 2025, respectively, because it is more likely than not that we will realize these deferred tax assets through reversals of existing temporary differences, future taxable income and the implementation of tax planning strategies.</w:t>
      </w:r>
    </w:p>
    <w:p>
      <w:pPr>
        <w:spacing w:after="0" w:line="19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July 4, 2025, a budget reconciliation package referred to as the One Big Beautiful Bill Act of 2025 (the “OBBBA”) was enacted. The tax provisions included within the OBBBA did not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Liabilities for Losses and Loss Expenses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1,120,985</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(394,854)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(416,621)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705,196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142,546</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42,926</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89,371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97,274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696,197</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1,129,815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1,092,624</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$5.7 million and $10.5 million for the three months ended March 31, 2026 and 2025,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2026 development represented 0.8% of the December 31, 2025 net carried reserves and resulted from lower-than-expected loss emergence or severity primarily in the commercial automobile and personal automobile lines of business, offset partially by unfavorable development in the commercial multi-peril and other commercial lines of business that we attribute to higher-than-anticipated case reserve development. The majority of the 2026 development related to decreases in the liabilities for losses and loss expenses of prior years for MICO and Atlantic States. The 2025 development represented 1.5% of the December 31, 2024 net carried reserves and resulted from lower-than-expected loss emergence or severity primarily in the commercial automobile, commercial multi-peril, and personal automobile lines of business. The majority of the 2025 development related to decreases in the liabilities for losses and loss expenses of prior years for Atlantic States and MICO.</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three months ended March 31, 2026.</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Allowance for Expected Credit Losses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Fixed-Maturity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March 31, 2026 and 2025 and changes in the allowance for expected credit losses for the three months ended March 31, 2026 and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r>
      <w:tr>
        <w:trPr>
          <w:trHeight w:val="245"/>
        </w:trPr>
        <w:tc>
          <w:tcPr>
            <w:tcW w:w="3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Ended March 31, 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March 31, 2025</w:t>
            </w:r>
          </w:p>
        </w:tc>
      </w:tr>
      <w:tr>
        <w:trPr>
          <w:trHeight w:val="194"/>
        </w:trPr>
        <w:tc>
          <w:tcPr>
            <w:tcW w:w="3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3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2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3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776,447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705,714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r>
      <w:tr>
        <w:trPr>
          <w:trHeight w:val="217"/>
        </w:trPr>
        <w:tc>
          <w:tcPr>
            <w:tcW w:w="55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706,098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March 31, 2026 and 2025 and changes in the allowance for expected credit losses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 Ended</w:t>
            </w:r>
          </w:p>
        </w:tc>
        <w:tc>
          <w:tcPr>
            <w:tcW w:w="120" w:type="dxa"/>
            <w:vAlign w:val="bottom"/>
          </w:tcPr>
          <w:p>
            <w:pPr>
              <w:spacing w:after="0"/>
              <w:rPr>
                <w:sz w:val="18"/>
                <w:szCs w:val="18"/>
                <w:color w:val="auto"/>
              </w:rPr>
            </w:pPr>
          </w:p>
        </w:tc>
        <w:tc>
          <w:tcPr>
            <w:tcW w:w="31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 Ended</w:t>
            </w:r>
          </w:p>
        </w:tc>
      </w:tr>
      <w:tr>
        <w:trPr>
          <w:trHeight w:val="245"/>
        </w:trPr>
        <w:tc>
          <w:tcPr>
            <w:tcW w:w="4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8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 Receivable,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200" w:type="dxa"/>
            <w:vAlign w:val="bottom"/>
          </w:tcPr>
          <w:p>
            <w:pPr>
              <w:spacing w:after="0"/>
              <w:rPr>
                <w:sz w:val="16"/>
                <w:szCs w:val="16"/>
                <w:color w:val="auto"/>
              </w:rPr>
            </w:pPr>
          </w:p>
        </w:tc>
        <w:tc>
          <w:tcPr>
            <w:tcW w:w="20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Reinsurance Receivable,</w:t>
            </w:r>
          </w:p>
        </w:tc>
        <w:tc>
          <w:tcPr>
            <w:tcW w:w="120" w:type="dxa"/>
            <w:vAlign w:val="bottom"/>
          </w:tcPr>
          <w:p>
            <w:pPr>
              <w:spacing w:after="0"/>
              <w:rPr>
                <w:sz w:val="16"/>
                <w:szCs w:val="16"/>
                <w:color w:val="auto"/>
              </w:rPr>
            </w:pPr>
          </w:p>
        </w:tc>
        <w:tc>
          <w:tcPr>
            <w:tcW w:w="9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100" w:type="dxa"/>
            <w:vAlign w:val="bottom"/>
          </w:tcPr>
          <w:p>
            <w:pPr>
              <w:spacing w:after="0"/>
              <w:rPr>
                <w:sz w:val="18"/>
                <w:szCs w:val="18"/>
                <w:color w:val="auto"/>
              </w:rPr>
            </w:pPr>
          </w:p>
        </w:tc>
        <w:tc>
          <w:tcPr>
            <w:tcW w:w="12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of Allowance for</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4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00" w:type="dxa"/>
            <w:vAlign w:val="bottom"/>
          </w:tcPr>
          <w:p>
            <w:pPr>
              <w:spacing w:after="0"/>
              <w:rPr>
                <w:sz w:val="21"/>
                <w:szCs w:val="21"/>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200" w:type="dxa"/>
            <w:vAlign w:val="bottom"/>
          </w:tcPr>
          <w:p>
            <w:pPr>
              <w:spacing w:after="0"/>
              <w:rPr>
                <w:sz w:val="21"/>
                <w:szCs w:val="21"/>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r>
      <w:tr>
        <w:trPr>
          <w:trHeight w:val="216"/>
        </w:trPr>
        <w:tc>
          <w:tcPr>
            <w:tcW w:w="4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9"/>
              </w:rPr>
              <w:t>398,582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420,742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56"/>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center"/>
              <w:ind w:left="1093"/>
              <w:spacing w:after="0"/>
              <w:rPr>
                <w:sz w:val="20"/>
                <w:szCs w:val="20"/>
                <w:color w:val="auto"/>
              </w:rPr>
            </w:pPr>
            <w:r>
              <w:rPr>
                <w:rFonts w:ascii="Times New Roman" w:cs="Times New Roman" w:eastAsia="Times New Roman" w:hAnsi="Times New Roman"/>
                <w:sz w:val="18"/>
                <w:szCs w:val="18"/>
                <w:color w:val="auto"/>
                <w:w w:val="99"/>
              </w:rPr>
              <w:t>418,091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403,382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Impact of New Accounting Standards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The guidance is effective for annual reporting periods beginning after December 15, 2024. The adoption of this guidance will not have an impact on our financial position, results of operations or cash flows.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and interim reporting periods beginning after December 15, 2026. The adoption of this guidance will not have an impact on our financial position, results of operations or cash flows.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them on a consolidated basis in accordance with United States generally accepted accounting principles (“GAAP”).</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(including due to tariffs), availability and cost of skilled labor, the rate of litigation (including specialized plaintiff attorney involvement) in claims, increasing plaintiff attorney utilization of litigation financing and its impact on litigation strategies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March 31, 2026. At March 31, 2026, for every 1% change in our insurance subsidiaries’ loss and loss expense reserves, net of reinsurance recoverable, the effect on our pre-tax results of operations would be approximately $7.2 million.</w:t>
      </w:r>
    </w:p>
    <w:p>
      <w:pPr>
        <w:spacing w:after="0" w:line="19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8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loss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March 31, 2026 and December 31, 2025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215,476</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55,625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53,249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29,895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27,565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716,103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394,854</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2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320" w:type="dxa"/>
            <w:vAlign w:val="bottom"/>
          </w:tcPr>
          <w:p>
            <w:pPr>
              <w:spacing w:after="0"/>
              <w:rPr>
                <w:sz w:val="24"/>
                <w:szCs w:val="24"/>
                <w:color w:val="auto"/>
              </w:rPr>
            </w:pPr>
          </w:p>
        </w:tc>
      </w:tr>
      <w:tr>
        <w:trPr>
          <w:trHeight w:val="216"/>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Change in Loss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Change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r>
      <w:tr>
        <w:trPr>
          <w:trHeight w:val="216"/>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Loss Expense Reserves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r>
      <w:tr>
        <w:trPr>
          <w:trHeight w:val="245"/>
        </w:trPr>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Net of Reinsurance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2026(1)</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2025(1)</w:t>
            </w:r>
          </w:p>
        </w:tc>
      </w:tr>
      <w:tr>
        <w:trPr>
          <w:trHeight w:val="216"/>
        </w:trPr>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(dollars in thousands)</w:t>
            </w: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$644,493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$634,676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662,395</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652,306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r>
      <w:tr>
        <w:trPr>
          <w:trHeight w:val="216"/>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680,298</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669,936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r>
      <w:tr>
        <w:trPr>
          <w:trHeight w:val="216"/>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698,200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687,566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16"/>
        </w:trPr>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Base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716,103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705,196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734,006</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722,826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r>
      <w:tr>
        <w:trPr>
          <w:trHeight w:val="216"/>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751,908</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740,456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w:t>
            </w:r>
          </w:p>
        </w:tc>
      </w:tr>
      <w:tr>
        <w:trPr>
          <w:trHeight w:val="216"/>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769,811</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758,086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w:t>
            </w:r>
          </w:p>
        </w:tc>
      </w:tr>
      <w:tr>
        <w:trPr>
          <w:trHeight w:val="216"/>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787,713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775,716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right="8960" w:firstLine="8"/>
        <w:spacing w:after="0" w:line="500" w:lineRule="auto"/>
        <w:tabs>
          <w:tab w:leader="none" w:pos="4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 Non-GAAP Information</w:t>
      </w:r>
    </w:p>
    <w:p>
      <w:pPr>
        <w:spacing w:after="0" w:line="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our net premiums earned to our net premiums written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221,357</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25,144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17,933</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194"/>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232,702</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24,402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14,390</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700" w:hanging="32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7" w:lineRule="exact"/>
        <w:rPr>
          <w:rFonts w:ascii="Times New Roman" w:cs="Times New Roman" w:eastAsia="Times New Roman" w:hAnsi="Times New Roman"/>
          <w:sz w:val="18"/>
          <w:szCs w:val="18"/>
          <w:color w:val="auto"/>
        </w:rPr>
      </w:pPr>
    </w:p>
    <w:p>
      <w:pPr>
        <w:ind w:left="700" w:right="700" w:hanging="328"/>
        <w:spacing w:after="0" w:line="250"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ind w:left="700" w:hanging="32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6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5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5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4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4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4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4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120" w:type="dxa"/>
            <w:vAlign w:val="bottom"/>
            <w:vMerge w:val="restart"/>
          </w:tcPr>
          <w:p>
            <w:pPr>
              <w:jc w:val="right"/>
              <w:ind w:right="2811"/>
              <w:spacing w:after="0"/>
              <w:rPr>
                <w:sz w:val="20"/>
                <w:szCs w:val="20"/>
                <w:color w:val="auto"/>
              </w:rPr>
            </w:pPr>
            <w:r>
              <w:rPr>
                <w:rFonts w:ascii="Times New Roman" w:cs="Times New Roman" w:eastAsia="Times New Roman" w:hAnsi="Times New Roman"/>
                <w:sz w:val="14"/>
                <w:szCs w:val="14"/>
                <w:color w:val="auto"/>
              </w:rPr>
              <w:t>27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Three Months Ended March 31, 2025</w:t>
      </w:r>
    </w:p>
    <w:p>
      <w:pPr>
        <w:spacing w:after="0" w:line="22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quarter of 2026 were $221.4 million, a decrease of $11.3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4.9%, compared to $232.7 million for the first quarter of 2025, primarily reflecting lower new business writings, offset partially by solid premium retention and renewal premium increases in the preceding twelve-month period.</w:t>
      </w:r>
    </w:p>
    <w:p>
      <w:pPr>
        <w:spacing w:after="0" w:line="17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first quarter of 2026 were $239.3 million, a decrease of $7.8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3.2%, from the $247.1 million of net premiums written for the first quarter of 2025. Commercial lines net premiums written increased $3.5 million, or 2.2%, for the first quarter of 2026 compared to the first quarter of 2025. Personal lines net premiums written decreased $11.3 million, or 13.1%, for the first quarter of 2026 compared to the first quarter of 2025. We attribute the increase in commercial lines net premiums written primarily to new business writings, solid retention and a continuation of renewal premium increases in lines other than workers’ compensation. We attribute the decrease in personal lines net premiums written primarily to lower new business writings, offset partially by renewal premium rate increases and solid retention. We believe that the decrease in personal lines net premiums written will gradually taper over the course of 2026 as actions we have taken to slow the decline take effect.</w:t>
      </w:r>
    </w:p>
    <w:p>
      <w:pPr>
        <w:spacing w:after="0" w:line="18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$14.3 million for the first quarter of 2026, an increase of $2.3 million, or 19.2%,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 million for the first quarter of 2025. We attribute the increase primarily to an increase in the average investment yield and higher average invested assets relative to the first quarter of 2025.</w:t>
      </w:r>
    </w:p>
    <w:p>
      <w:pPr>
        <w:spacing w:after="0" w:line="173" w:lineRule="exact"/>
        <w:rPr>
          <w:sz w:val="20"/>
          <w:szCs w:val="20"/>
          <w:color w:val="auto"/>
        </w:rPr>
      </w:pPr>
    </w:p>
    <w:p>
      <w:pPr>
        <w:jc w:val="both"/>
        <w:ind w:firstLine="44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Net Investment Losses. </w:t>
      </w:r>
      <w:r>
        <w:rPr>
          <w:rFonts w:ascii="Times New Roman" w:cs="Times New Roman" w:eastAsia="Times New Roman" w:hAnsi="Times New Roman"/>
          <w:sz w:val="17"/>
          <w:szCs w:val="17"/>
          <w:color w:val="auto"/>
        </w:rPr>
        <w:t>Net investment losses for the first quarter of 2026 and 2025 were $479,224 and $470,861, respectively. The net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losses for the first quarter of 2026 and 2025 were primarily related to decreases in the market value of the equity securities we held at the end of the respective periods. We did not recognize any impairment losses for individual securities in our investment portfolio during the first quarter of 2026 or 2025.</w:t>
      </w:r>
    </w:p>
    <w:p>
      <w:pPr>
        <w:spacing w:after="0" w:line="155"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64.1% for the first quarter of 2026, an increase from our insurance subsidiaries’ loss ratio of 56.7% for the first quarter of 2025. The core loss ratio, which excludes weather-related losses, large fire losses and net development of reserves for losses incurred in prior accident years, was 53.4% for the first quarter of 2026, a decrease from the core loss ratio of 54.2% for the first quarter of 2025. For the commercial lines segment, the core loss ratio of 57.6% for the first quarter of 2026 decreased from 58.3% for the first quarter of 2025. For the personal lines segment, the core loss ratio of 46.5% for the first quarter of 2026 decreased from 48.7% for the first quarter of 2025. We attribute the decrease in the commercial lines core loss ratio primarily as a result of ongoing premium rate increases in all lines except workers’ compensation. We attribute the decrease in the personal lines core loss ratio primarily to the favorable impact of premium rate increases on net premiums earned for the personal lines segment. Weather-related losses were $17.2 million, or 7.8 percentage points of the loss ratio, for the first quarter of 2026, compared to $8.6 million, or 3.7 percentage points of the loss ratio, for the first quarter of 2025. The impact of weather-related loss activity to the loss ratio for the first quarter of 2026 was higher than our previous five-year average of first quarter weather-related losses. Large fire losses, which we define as individual fire losses in excess of $50,000, for the first quarter of 2026 were $12.2 million, or 5.5 percentage points of the loss ratio, compared to $7.7 million, or 3.3 percentage points of the loss ratio, for the first quarter of 2025. We attribute the increase to higher loss frequency and severity compared to the prior-year quarter. Our insurance subsidiaries’ commercial lines loss ratio was 68.8% for the first quarter of 2026, compared to 59.7% for the first quarter of 2025, primarily due to increases in the commercial multi-peril and other commercial lines of business loss ratios, offset partially by a decrease in the workers’ compensation line of business loss ratio. The personal lines loss ratio of our insurance subsidiaries increased to 56.4% for the first quarter of 2026, compared to 52.5% for the first quarter of 2025. We attribute this increase primarily to an increase in the homeowners and other personal lines of business loss ratios, offset partially by a decrease in the personal automobile line of business loss ratio. Our insurance subsidiaries experienced net favorable loss reserve development for the first quarter of 2026 of $5.7 million that decreased the loss ratio by 2.6 percentage points, compared to $10.5 million of net favorable loss reserve development that decreased the loss ratio for the first quarter of 2025 by 4.5 percentage points. Our insurance subsidiaries experienced favorable development primarily in the commercial automobile and personal automobile lines of business, offset partially by unfavorable development in the commercial multi-peril and commercial other liability lines of business for the first quarter of 2026.</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35.4% for the first quarter of 2026, compared to 34.6% for the first quarter of 2025. The increase in the expense ratio primarily reflected the impact of lower net premiums earned upon which the ratio is based. The impact from allocated costs from Donegal Mutual to our insurance subsidiaries related to the ongoing systems modernization project represented approximately 1.6 percentage points of the expense ratio for the first quarter of 2026. We expect that the expense ratio impact of allocated costs related to the project will be 1.4 percentage points for the full year of 2026, subsiding gradually over the next several years.</w:t>
      </w:r>
    </w:p>
    <w:p>
      <w:pPr>
        <w:spacing w:after="0" w:line="18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99.8% and 91.6% for the first quarter of 2026 and 2025, respectively. We attribute the increase in the combined ratio primarily to increases in the loss and expense ratios for the first quarter of 2026 compared to the first quarter of 2025.</w:t>
      </w:r>
    </w:p>
    <w:p>
      <w:pPr>
        <w:spacing w:after="0" w:line="180"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$2.6 million for the first quarter of 2026, representing an effective tax rate of 18.5%.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$6.0 million for the first quarter of 2025, representing an effective tax rate of 19.1%. The income tax expense for the first quarter of 2026 and 2025 represented estimates based on our projected annual taxable income and effective tax rates.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quarter of 2026 was $11.5 million, or $.31 per share of Class A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diluted basis and $.29 per share of Class B common stock, compared to $25.2 million, or $.71 per share of Class A common stock on a diluted basis and $.65 per share of Class B common stock, for the first quarter of 2025. We had 31.4 million and 30.4 million Class A shares outstanding at March 31, 2026 and 2025, respectively. We had 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maturing investments.</w:t>
      </w:r>
    </w:p>
    <w:p>
      <w:pPr>
        <w:spacing w:after="0" w:line="17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historically generated sufficient net positive cash flow to fund our commitments and add to our investment portfolio, thereby increasing future investment returns. The impact of the pooling agreement between Donegal Mutual and Atlantic States has historically been cash-flow positive because of the consistent underwriting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the first three months of 2026 and 2025 were $20.2 million and $25.7 million, respectively.</w:t>
      </w:r>
    </w:p>
    <w:p>
      <w:pPr>
        <w:spacing w:after="0" w:line="18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At March 31, 2026, we had no outstanding borrowings under our line of credit with M&amp;T and had the ability to borrow up to $20.0 million at an interest rate equal to the then-current Term SOFR rate plus 2.11%. At March 31, 2026, Atlantic States had a $35.0 million outstanding advance with the FHLB of Pittsburgh that carries a fixed interest rate of 3.806% and is due in September 2026. We discuss in Note 7 – Borrowings our estimate of the timing of the amounts payable for the borrowings under our lines of credit based on their contractual maturities.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Rule 10b-18 and in privately negotiated transactions. We did not purchase any shares of our Class A common stock under this program during the three months ended March 31, 2026 or 2025. We have purchased a total of 57,658 shares of our Class A common stock under this program from its inception through March 31, 2026.</w:t>
      </w:r>
    </w:p>
    <w:p>
      <w:pPr>
        <w:spacing w:after="0" w:line="18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April 16, 2026, our board of directors declared quarterly cash dividends of $0.1925 per share of our Class A common stock and $0.175 per share of our Class B common stock, payable on May 15, 2026 to our stockholders of record as of the close of business on May 1, 2026. There are no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 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2025. Our insurance subsidiaries did not pay any dividends to us during the first three months of 2026. Amounts remaining available for distribution to us as dividends from our insurance subsidiaries without prior approval of their domiciliary insurance regulatory authorities in 2026 are approximately $50.8 million from Atlantic States, $10.2 million from MICO and $5.4 million from Peninsula, or a total of approximately $66.4 million.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2026,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2025 through March 31, 2026.</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March 31, 2026,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industry trends that could increase our loss costs (including distracted driving, higher rates of litigation, higher judicial awards and escalating medical, automobile and property repair costs, including due to tariffs), adverse and catastrophic weather events and other natural disasters (including from changing climate conditions), man-made disasters (such as terrorism), our ability to maintain profitable operations (including our ability to underwrite risks effectively and charge adequate premium rates), the adequacy of the loss and loss expense reserves of our insurance subsidiaries, the successful operation (including cost, security and availability) of the information technology systems our insurance subsidiaries utilize, the successful development and deployment of new technologies (including artificial intelligence, data modernization and cloud migration) to allow our insurance subsidiaries to compete effectively, the loss or significant restriction of the use of specific rating attributes, analytical models or technologies our insurance subsidiaries use in their pricing and underwriting, increases in assessments pursuant to guaranty fund laws, business and economic conditions in the areas in which we and our insurance subsidiaries operate (including from pandemics), interest rates and other factors impacting the investment portfolios of our insurance subsidiaries, competition from various insurance and other financial businesses (including changes in consumer preferences for insurance distribution channels), the availability and cost of reinsurance, legal and judicial developments, changes in regulatory requirements, our ability to attract and retain independent insurance agents (and their ability to maintain adequate levels of premium volume and quality),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2025 Annual Report on Form 10-K that we filed with the SEC on March 6, 2026. There have been no material changes in the risk factors we disclosed in that Form 10-K Report during the three months ended March 31, 2026.</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 Units) that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 Total Number of Shares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 Average Price Paid per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98"/>
        </w:trPr>
        <w:tc>
          <w:tcPr>
            <w:tcW w:w="8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#1</w:t>
            </w:r>
          </w:p>
        </w:tc>
        <w:tc>
          <w:tcPr>
            <w:tcW w:w="1380" w:type="dxa"/>
            <w:vAlign w:val="bottom"/>
            <w:tcBorders>
              <w:top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January 1-31,</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1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13"/>
        </w:trPr>
        <w:tc>
          <w:tcPr>
            <w:tcW w:w="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160" w:type="dxa"/>
            <w:vAlign w:val="bottom"/>
            <w:vMerge w:val="continue"/>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#2</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2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6"/>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1-28, 2026</w:t>
            </w:r>
          </w:p>
        </w:tc>
        <w:tc>
          <w:tcPr>
            <w:tcW w:w="120" w:type="dxa"/>
            <w:vAlign w:val="bottom"/>
            <w:shd w:val="clear" w:color="auto" w:fill="CCEEFF"/>
          </w:tcPr>
          <w:p>
            <w:pPr>
              <w:spacing w:after="0"/>
              <w:rPr>
                <w:sz w:val="10"/>
                <w:szCs w:val="1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#3</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Class A – 9,000</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Class A – $17.63</w:t>
            </w:r>
          </w:p>
        </w:tc>
        <w:tc>
          <w:tcPr>
            <w:tcW w:w="2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 9,000</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6"/>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2026</w:t>
            </w:r>
          </w:p>
        </w:tc>
        <w:tc>
          <w:tcPr>
            <w:tcW w:w="120" w:type="dxa"/>
            <w:vAlign w:val="bottom"/>
            <w:shd w:val="clear" w:color="auto" w:fill="CCEEFF"/>
          </w:tcPr>
          <w:p>
            <w:pPr>
              <w:spacing w:after="0"/>
              <w:rPr>
                <w:sz w:val="10"/>
                <w:szCs w:val="1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Class A – 9,000</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Class A – $17.63</w:t>
            </w:r>
          </w:p>
        </w:tc>
        <w:tc>
          <w:tcPr>
            <w:tcW w:w="2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 9,000</w:t>
            </w: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Donegal Mutual purchased these shares pursuant to its announcement on April 29, 2022 that it will, at its discretion, purchase shares of our Class A common 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92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818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648"/>
        </w:trPr>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Exhibits</w:t>
            </w:r>
          </w:p>
        </w:tc>
        <w:tc>
          <w:tcPr>
            <w:tcW w:w="8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1840" w:type="dxa"/>
            <w:vAlign w:val="bottom"/>
            <w:gridSpan w:val="4"/>
            <w:shd w:val="clear" w:color="auto" w:fill="CCEEFF"/>
          </w:tcPr>
          <w:p>
            <w:pPr>
              <w:ind w:left="76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40" w:type="dxa"/>
            <w:vAlign w:val="bottom"/>
            <w:gridSpan w:val="4"/>
            <w:shd w:val="clear" w:color="auto" w:fill="CCEEFF"/>
          </w:tcPr>
          <w:p>
            <w:pPr>
              <w:ind w:left="76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40" w:type="dxa"/>
            <w:vAlign w:val="bottom"/>
            <w:gridSpan w:val="4"/>
            <w:shd w:val="clear" w:color="auto" w:fill="CCEEFF"/>
          </w:tcPr>
          <w:p>
            <w:pPr>
              <w:ind w:left="76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1350 of Certification of Chief Executive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40" w:type="dxa"/>
            <w:vAlign w:val="bottom"/>
            <w:gridSpan w:val="4"/>
            <w:shd w:val="clear" w:color="auto" w:fill="CCEEFF"/>
          </w:tcPr>
          <w:p>
            <w:pPr>
              <w:ind w:left="76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1350 of Certification of Chief Financial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71"/>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80" w:type="dxa"/>
            <w:vAlign w:val="bottom"/>
          </w:tcPr>
          <w:p>
            <w:pPr>
              <w:ind w:left="3640"/>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2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b w:val="1"/>
          <w:bCs w:val="1"/>
          <w:color w:val="auto"/>
        </w:rPr>
        <w:t xml:space="preserve">By: </w:t>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5" w:right="7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07" w:lineRule="exact"/>
        <w:rPr>
          <w:sz w:val="20"/>
          <w:szCs w:val="20"/>
          <w:color w:val="auto"/>
        </w:rPr>
      </w:pPr>
    </w:p>
    <w:p>
      <w:pPr>
        <w:ind w:left="520" w:hanging="188"/>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Donegal Group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140" w:firstLine="656"/>
        <w:spacing w:after="0" w:line="266" w:lineRule="auto"/>
        <w:tabs>
          <w:tab w:leader="none" w:pos="8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9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660" w:firstLine="656"/>
        <w:spacing w:after="0" w:line="282" w:lineRule="auto"/>
        <w:tabs>
          <w:tab w:leader="none" w:pos="8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9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80" w:firstLine="332"/>
        <w:spacing w:after="0" w:line="282" w:lineRule="auto"/>
        <w:tabs>
          <w:tab w:leader="none" w:pos="5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07" w:lineRule="exact"/>
        <w:rPr>
          <w:sz w:val="20"/>
          <w:szCs w:val="20"/>
          <w:color w:val="auto"/>
        </w:rPr>
      </w:pPr>
    </w:p>
    <w:p>
      <w:pPr>
        <w:ind w:left="520" w:hanging="188"/>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Donegal Group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140" w:firstLine="656"/>
        <w:spacing w:after="0" w:line="266" w:lineRule="auto"/>
        <w:tabs>
          <w:tab w:leader="none" w:pos="8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660" w:firstLine="656"/>
        <w:spacing w:after="0" w:line="282" w:lineRule="auto"/>
        <w:tabs>
          <w:tab w:leader="none" w:pos="8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80" w:firstLine="332"/>
        <w:spacing w:after="0" w:line="282" w:lineRule="auto"/>
        <w:tabs>
          <w:tab w:leader="none" w:pos="5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Donegal Group Inc. (the “Company”), on Form 10-Q for the quarter ended March 31, 2026,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500" w:hanging="168"/>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Donegal Group Inc. (the “Company”), on Form 10-Q for the quarter ended March 31, 2026,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500" w:hanging="168"/>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2026-05-07T14:17:10Z</dcterms:created>
  <dcterms:modified xsi:type="dcterms:W3CDTF">2026-05-07T14:17:10Z</dcterms:modified>
</cp:coreProperties>
</file>